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593631" w14:textId="77777777" w:rsidR="007B5141" w:rsidRDefault="007B5141">
      <w:pPr>
        <w:spacing w:line="480" w:lineRule="auto"/>
        <w:ind w:firstLine="0"/>
        <w:jc w:val="center"/>
        <w:rPr>
          <w:b/>
          <w:sz w:val="36"/>
          <w:szCs w:val="36"/>
        </w:rPr>
      </w:pPr>
    </w:p>
    <w:p w14:paraId="1BE7CF16" w14:textId="77777777" w:rsidR="007B5141" w:rsidRDefault="007B5141">
      <w:pPr>
        <w:spacing w:line="480" w:lineRule="auto"/>
        <w:ind w:firstLine="0"/>
        <w:jc w:val="center"/>
        <w:rPr>
          <w:b/>
          <w:sz w:val="36"/>
          <w:szCs w:val="36"/>
        </w:rPr>
      </w:pPr>
    </w:p>
    <w:p w14:paraId="27004700" w14:textId="77777777" w:rsidR="007B5141" w:rsidRDefault="007B5141">
      <w:pPr>
        <w:spacing w:line="480" w:lineRule="auto"/>
        <w:ind w:firstLine="0"/>
        <w:jc w:val="center"/>
        <w:rPr>
          <w:b/>
          <w:sz w:val="36"/>
          <w:szCs w:val="36"/>
        </w:rPr>
      </w:pPr>
    </w:p>
    <w:p w14:paraId="50B093D4" w14:textId="50DB382D" w:rsidR="007B5141" w:rsidRDefault="00000000">
      <w:pPr>
        <w:spacing w:line="480" w:lineRule="auto"/>
        <w:ind w:firstLine="0"/>
        <w:jc w:val="center"/>
        <w:rPr>
          <w:b/>
          <w:sz w:val="36"/>
          <w:szCs w:val="36"/>
        </w:rPr>
      </w:pPr>
      <w:r>
        <w:rPr>
          <w:b/>
          <w:sz w:val="36"/>
          <w:szCs w:val="36"/>
        </w:rPr>
        <w:t>DIRETRIZ</w:t>
      </w:r>
      <w:r w:rsidR="00412DA5">
        <w:rPr>
          <w:b/>
          <w:sz w:val="36"/>
          <w:szCs w:val="36"/>
        </w:rPr>
        <w:t>ES</w:t>
      </w:r>
      <w:r>
        <w:rPr>
          <w:b/>
          <w:sz w:val="36"/>
          <w:szCs w:val="36"/>
        </w:rPr>
        <w:t xml:space="preserve"> PARA O EXAME TOXICOLÓGICO EM </w:t>
      </w:r>
      <w:r w:rsidRPr="00357C55">
        <w:rPr>
          <w:b/>
          <w:sz w:val="36"/>
          <w:szCs w:val="36"/>
        </w:rPr>
        <w:t>INVESTIGAÇÃO DE OCORRÊNCIAS</w:t>
      </w:r>
      <w:r>
        <w:rPr>
          <w:b/>
          <w:sz w:val="36"/>
          <w:szCs w:val="36"/>
        </w:rPr>
        <w:t xml:space="preserve"> DE TRÂNSITO</w:t>
      </w:r>
    </w:p>
    <w:p w14:paraId="6B2E44DB" w14:textId="0B65B8FB" w:rsidR="000A469B" w:rsidRDefault="00000000">
      <w:pPr>
        <w:spacing w:line="480" w:lineRule="auto"/>
        <w:ind w:firstLine="0"/>
        <w:jc w:val="center"/>
        <w:rPr>
          <w:b/>
          <w:sz w:val="32"/>
          <w:szCs w:val="32"/>
        </w:rPr>
      </w:pPr>
      <w:r>
        <w:rPr>
          <w:b/>
          <w:sz w:val="32"/>
          <w:szCs w:val="32"/>
        </w:rPr>
        <w:t xml:space="preserve">Versão 1  </w:t>
      </w:r>
    </w:p>
    <w:p w14:paraId="21241B23" w14:textId="20DE3A80" w:rsidR="007B5141" w:rsidRDefault="001339DF">
      <w:pPr>
        <w:spacing w:line="480" w:lineRule="auto"/>
        <w:ind w:firstLine="0"/>
        <w:jc w:val="center"/>
        <w:rPr>
          <w:b/>
          <w:sz w:val="32"/>
          <w:szCs w:val="32"/>
        </w:rPr>
      </w:pPr>
      <w:r>
        <w:rPr>
          <w:b/>
          <w:sz w:val="32"/>
          <w:szCs w:val="32"/>
        </w:rPr>
        <w:t xml:space="preserve">Autoria de: </w:t>
      </w:r>
    </w:p>
    <w:p w14:paraId="0131CF82" w14:textId="77777777" w:rsidR="007B5141" w:rsidRDefault="00000000">
      <w:pPr>
        <w:ind w:firstLine="0"/>
        <w:jc w:val="center"/>
        <w:rPr>
          <w:sz w:val="32"/>
          <w:szCs w:val="32"/>
        </w:rPr>
      </w:pPr>
      <w:r>
        <w:rPr>
          <w:sz w:val="32"/>
          <w:szCs w:val="32"/>
        </w:rPr>
        <w:t xml:space="preserve"> Rony Anderson Rezende Costa, Fabrício Souza Pelição, </w:t>
      </w:r>
    </w:p>
    <w:p w14:paraId="6EF24DC5" w14:textId="77777777" w:rsidR="007B5141" w:rsidRDefault="00000000">
      <w:pPr>
        <w:ind w:firstLine="0"/>
        <w:jc w:val="center"/>
        <w:rPr>
          <w:b/>
          <w:sz w:val="32"/>
          <w:szCs w:val="32"/>
        </w:rPr>
      </w:pPr>
      <w:r>
        <w:rPr>
          <w:sz w:val="32"/>
          <w:szCs w:val="32"/>
        </w:rPr>
        <w:t>José Luiz da Costa</w:t>
      </w:r>
    </w:p>
    <w:p w14:paraId="609E6A76" w14:textId="00F48FE3" w:rsidR="007B5141" w:rsidRPr="001339DF" w:rsidRDefault="000A469B">
      <w:pPr>
        <w:spacing w:line="480" w:lineRule="auto"/>
        <w:ind w:firstLine="0"/>
        <w:jc w:val="center"/>
        <w:rPr>
          <w:b/>
          <w:sz w:val="32"/>
          <w:szCs w:val="32"/>
        </w:rPr>
      </w:pPr>
      <w:r w:rsidRPr="001339DF">
        <w:rPr>
          <w:b/>
          <w:sz w:val="32"/>
          <w:szCs w:val="32"/>
        </w:rPr>
        <w:t>Revis</w:t>
      </w:r>
      <w:r w:rsidR="001339DF">
        <w:rPr>
          <w:b/>
          <w:sz w:val="32"/>
          <w:szCs w:val="32"/>
        </w:rPr>
        <w:t>ão de</w:t>
      </w:r>
      <w:r w:rsidRPr="001339DF">
        <w:rPr>
          <w:b/>
          <w:sz w:val="32"/>
          <w:szCs w:val="32"/>
        </w:rPr>
        <w:t>:</w:t>
      </w:r>
    </w:p>
    <w:p w14:paraId="77213243" w14:textId="2263A61A" w:rsidR="000A469B" w:rsidRPr="000A469B" w:rsidRDefault="000A469B" w:rsidP="000A469B">
      <w:pPr>
        <w:ind w:firstLine="0"/>
        <w:jc w:val="center"/>
        <w:rPr>
          <w:sz w:val="32"/>
          <w:szCs w:val="32"/>
        </w:rPr>
      </w:pPr>
      <w:r w:rsidRPr="000A469B">
        <w:rPr>
          <w:sz w:val="32"/>
          <w:szCs w:val="32"/>
        </w:rPr>
        <w:t xml:space="preserve">Ricardo Leal Cunha, Rachel Picada Bulcão, </w:t>
      </w:r>
    </w:p>
    <w:p w14:paraId="487E4DC2" w14:textId="7591D83A" w:rsidR="000A469B" w:rsidRPr="000A469B" w:rsidRDefault="000A469B" w:rsidP="000A469B">
      <w:pPr>
        <w:ind w:firstLine="0"/>
        <w:jc w:val="center"/>
        <w:rPr>
          <w:sz w:val="32"/>
          <w:szCs w:val="32"/>
        </w:rPr>
      </w:pPr>
      <w:r w:rsidRPr="000A469B">
        <w:rPr>
          <w:sz w:val="32"/>
          <w:szCs w:val="32"/>
        </w:rPr>
        <w:t>Mariana Dadalto Peres</w:t>
      </w:r>
    </w:p>
    <w:p w14:paraId="38672BD3" w14:textId="77777777" w:rsidR="007B5141" w:rsidRDefault="007B5141">
      <w:pPr>
        <w:spacing w:line="480" w:lineRule="auto"/>
        <w:ind w:firstLine="0"/>
        <w:jc w:val="center"/>
        <w:rPr>
          <w:b/>
          <w:sz w:val="36"/>
          <w:szCs w:val="36"/>
        </w:rPr>
      </w:pPr>
    </w:p>
    <w:p w14:paraId="69091A43" w14:textId="77777777" w:rsidR="007B5141" w:rsidRDefault="007B5141">
      <w:pPr>
        <w:ind w:firstLine="0"/>
        <w:jc w:val="center"/>
        <w:rPr>
          <w:b/>
          <w:sz w:val="32"/>
          <w:szCs w:val="32"/>
        </w:rPr>
      </w:pPr>
    </w:p>
    <w:p w14:paraId="4520BA2C" w14:textId="77777777" w:rsidR="00DF0FF0" w:rsidRDefault="00DF0FF0">
      <w:pPr>
        <w:ind w:firstLine="0"/>
        <w:jc w:val="center"/>
        <w:rPr>
          <w:b/>
          <w:sz w:val="32"/>
          <w:szCs w:val="32"/>
        </w:rPr>
      </w:pPr>
    </w:p>
    <w:p w14:paraId="0A6E02AC" w14:textId="77777777" w:rsidR="00DF0FF0" w:rsidRDefault="00DF0FF0">
      <w:pPr>
        <w:ind w:firstLine="0"/>
        <w:jc w:val="center"/>
        <w:rPr>
          <w:b/>
          <w:sz w:val="32"/>
          <w:szCs w:val="32"/>
        </w:rPr>
      </w:pPr>
    </w:p>
    <w:p w14:paraId="7D334F4A" w14:textId="13930686" w:rsidR="007B5141" w:rsidRDefault="00357C55">
      <w:pPr>
        <w:ind w:firstLine="0"/>
        <w:jc w:val="center"/>
        <w:rPr>
          <w:b/>
          <w:sz w:val="32"/>
          <w:szCs w:val="32"/>
        </w:rPr>
      </w:pPr>
      <w:r>
        <w:rPr>
          <w:b/>
          <w:sz w:val="32"/>
          <w:szCs w:val="32"/>
        </w:rPr>
        <w:t>Maio-2024</w:t>
      </w:r>
      <w:r>
        <w:br w:type="page"/>
      </w:r>
    </w:p>
    <w:p w14:paraId="3475C810" w14:textId="77777777" w:rsidR="007B5141" w:rsidRDefault="007B5141">
      <w:pPr>
        <w:spacing w:after="0"/>
        <w:ind w:firstLine="0"/>
        <w:jc w:val="center"/>
        <w:rPr>
          <w:sz w:val="28"/>
          <w:szCs w:val="28"/>
        </w:rPr>
      </w:pPr>
    </w:p>
    <w:p w14:paraId="2588E328" w14:textId="77777777" w:rsidR="007B5141" w:rsidRDefault="00000000">
      <w:pPr>
        <w:spacing w:after="0"/>
        <w:ind w:firstLine="0"/>
        <w:jc w:val="center"/>
        <w:rPr>
          <w:b/>
          <w:sz w:val="28"/>
          <w:szCs w:val="28"/>
        </w:rPr>
      </w:pPr>
      <w:r>
        <w:rPr>
          <w:b/>
          <w:sz w:val="28"/>
          <w:szCs w:val="28"/>
        </w:rPr>
        <w:t>Sociedade Brasileira de Toxicologia- SBTox</w:t>
      </w:r>
    </w:p>
    <w:p w14:paraId="0F7F4B1A" w14:textId="77777777" w:rsidR="007B5141" w:rsidRDefault="00000000">
      <w:pPr>
        <w:spacing w:after="0"/>
        <w:ind w:firstLine="0"/>
        <w:jc w:val="center"/>
        <w:rPr>
          <w:sz w:val="28"/>
          <w:szCs w:val="28"/>
        </w:rPr>
      </w:pPr>
      <w:r>
        <w:rPr>
          <w:sz w:val="28"/>
          <w:szCs w:val="28"/>
        </w:rPr>
        <w:t>Av. Prof. Lineu Prestes, 580 Bloco 13B, CEP: 05508-000, São Paulo/SP</w:t>
      </w:r>
    </w:p>
    <w:p w14:paraId="2170E88F" w14:textId="77777777" w:rsidR="007B5141" w:rsidRDefault="00000000">
      <w:pPr>
        <w:spacing w:after="0"/>
        <w:ind w:firstLine="0"/>
        <w:jc w:val="center"/>
        <w:rPr>
          <w:sz w:val="28"/>
          <w:szCs w:val="28"/>
        </w:rPr>
      </w:pPr>
      <w:r>
        <w:rPr>
          <w:sz w:val="28"/>
          <w:szCs w:val="28"/>
        </w:rPr>
        <w:t>Telefax: (+55 11) 3031 1857</w:t>
      </w:r>
    </w:p>
    <w:p w14:paraId="03966DB3" w14:textId="77777777" w:rsidR="007B5141" w:rsidRDefault="00000000">
      <w:pPr>
        <w:spacing w:after="0"/>
        <w:ind w:firstLine="0"/>
        <w:jc w:val="center"/>
        <w:rPr>
          <w:sz w:val="28"/>
          <w:szCs w:val="28"/>
        </w:rPr>
      </w:pPr>
      <w:r>
        <w:rPr>
          <w:sz w:val="28"/>
          <w:szCs w:val="28"/>
        </w:rPr>
        <w:t>Site: www.sbtox.org      e-mail: diretoria@sbtox.org</w:t>
      </w:r>
    </w:p>
    <w:p w14:paraId="3CFB24E6" w14:textId="77777777" w:rsidR="007B5141" w:rsidRDefault="007B5141">
      <w:pPr>
        <w:spacing w:after="0"/>
        <w:ind w:firstLine="0"/>
        <w:jc w:val="center"/>
        <w:rPr>
          <w:sz w:val="28"/>
          <w:szCs w:val="28"/>
        </w:rPr>
      </w:pPr>
    </w:p>
    <w:p w14:paraId="09C3603A" w14:textId="77777777" w:rsidR="007B5141" w:rsidRDefault="007B5141">
      <w:pPr>
        <w:spacing w:after="0"/>
        <w:ind w:firstLine="0"/>
        <w:jc w:val="center"/>
        <w:rPr>
          <w:sz w:val="28"/>
          <w:szCs w:val="28"/>
        </w:rPr>
      </w:pPr>
    </w:p>
    <w:p w14:paraId="274F4E4A" w14:textId="77777777" w:rsidR="007B5141" w:rsidRDefault="007B5141">
      <w:pPr>
        <w:spacing w:after="0"/>
        <w:ind w:firstLine="0"/>
        <w:jc w:val="center"/>
        <w:rPr>
          <w:sz w:val="28"/>
          <w:szCs w:val="28"/>
        </w:rPr>
      </w:pPr>
    </w:p>
    <w:p w14:paraId="287B2FB8" w14:textId="77777777" w:rsidR="007B5141" w:rsidRDefault="007B5141">
      <w:pPr>
        <w:spacing w:after="0"/>
        <w:ind w:firstLine="0"/>
        <w:jc w:val="center"/>
        <w:rPr>
          <w:sz w:val="28"/>
          <w:szCs w:val="28"/>
        </w:rPr>
      </w:pPr>
    </w:p>
    <w:p w14:paraId="18E28096" w14:textId="77777777" w:rsidR="007B5141" w:rsidRDefault="007B5141">
      <w:pPr>
        <w:spacing w:after="0"/>
        <w:ind w:firstLine="0"/>
        <w:jc w:val="center"/>
        <w:rPr>
          <w:sz w:val="28"/>
          <w:szCs w:val="28"/>
        </w:rPr>
      </w:pPr>
    </w:p>
    <w:p w14:paraId="446BACB2" w14:textId="77777777" w:rsidR="007B5141" w:rsidRDefault="007B5141">
      <w:pPr>
        <w:spacing w:after="0"/>
        <w:ind w:firstLine="0"/>
        <w:jc w:val="center"/>
        <w:rPr>
          <w:sz w:val="28"/>
          <w:szCs w:val="28"/>
        </w:rPr>
      </w:pPr>
    </w:p>
    <w:p w14:paraId="71CCF6F6" w14:textId="77777777" w:rsidR="007B5141" w:rsidRDefault="00000000">
      <w:pPr>
        <w:spacing w:after="0"/>
        <w:ind w:firstLine="0"/>
        <w:jc w:val="center"/>
        <w:rPr>
          <w:b/>
          <w:sz w:val="28"/>
          <w:szCs w:val="28"/>
        </w:rPr>
      </w:pPr>
      <w:r>
        <w:rPr>
          <w:b/>
          <w:sz w:val="28"/>
          <w:szCs w:val="28"/>
        </w:rPr>
        <w:t>Diretoria – Biênio 2022-2023</w:t>
      </w:r>
    </w:p>
    <w:p w14:paraId="5F2B3473" w14:textId="77777777" w:rsidR="007B5141" w:rsidRDefault="00000000">
      <w:pPr>
        <w:spacing w:after="0"/>
        <w:ind w:right="0" w:firstLine="0"/>
        <w:jc w:val="center"/>
        <w:rPr>
          <w:b/>
          <w:color w:val="000000"/>
          <w:sz w:val="28"/>
          <w:szCs w:val="28"/>
        </w:rPr>
      </w:pPr>
      <w:r>
        <w:rPr>
          <w:b/>
          <w:color w:val="000000"/>
          <w:sz w:val="28"/>
          <w:szCs w:val="28"/>
        </w:rPr>
        <w:t xml:space="preserve">Presidente: José Roberto Santin (Univali-SC) </w:t>
      </w:r>
    </w:p>
    <w:p w14:paraId="17880E00" w14:textId="77777777" w:rsidR="007B5141" w:rsidRDefault="00000000">
      <w:pPr>
        <w:spacing w:after="0"/>
        <w:ind w:right="0" w:firstLine="0"/>
        <w:jc w:val="center"/>
        <w:rPr>
          <w:b/>
          <w:color w:val="000000"/>
          <w:sz w:val="28"/>
          <w:szCs w:val="28"/>
        </w:rPr>
      </w:pPr>
      <w:r>
        <w:rPr>
          <w:b/>
          <w:color w:val="000000"/>
          <w:sz w:val="28"/>
          <w:szCs w:val="28"/>
        </w:rPr>
        <w:t>Vice-Presidente: Sarah Eller (UFCSPA-RS)</w:t>
      </w:r>
    </w:p>
    <w:p w14:paraId="598DD0E4" w14:textId="77777777" w:rsidR="007B5141" w:rsidRDefault="00000000">
      <w:pPr>
        <w:spacing w:after="0"/>
        <w:ind w:right="0" w:firstLine="0"/>
        <w:jc w:val="center"/>
        <w:rPr>
          <w:b/>
          <w:color w:val="000000"/>
          <w:sz w:val="28"/>
          <w:szCs w:val="28"/>
        </w:rPr>
      </w:pPr>
      <w:r>
        <w:rPr>
          <w:b/>
          <w:color w:val="000000"/>
          <w:sz w:val="28"/>
          <w:szCs w:val="28"/>
        </w:rPr>
        <w:t>Secretário-Geral: Rony Anderson Rezende Costa (PC-PB)</w:t>
      </w:r>
    </w:p>
    <w:p w14:paraId="3093B231" w14:textId="77777777" w:rsidR="007B5141" w:rsidRDefault="00000000">
      <w:pPr>
        <w:spacing w:after="0"/>
        <w:ind w:right="0" w:firstLine="0"/>
        <w:jc w:val="center"/>
        <w:rPr>
          <w:b/>
          <w:color w:val="000000"/>
          <w:sz w:val="28"/>
          <w:szCs w:val="28"/>
        </w:rPr>
      </w:pPr>
      <w:r>
        <w:rPr>
          <w:b/>
          <w:color w:val="000000"/>
          <w:sz w:val="28"/>
          <w:szCs w:val="28"/>
        </w:rPr>
        <w:t>1o. Secretário: Rafael Lanaro (CCI/UNICAMP-SP)</w:t>
      </w:r>
    </w:p>
    <w:p w14:paraId="2D27C2D7" w14:textId="77777777" w:rsidR="007B5141" w:rsidRDefault="00000000">
      <w:pPr>
        <w:spacing w:after="0"/>
        <w:ind w:right="0" w:firstLine="0"/>
        <w:jc w:val="center"/>
        <w:rPr>
          <w:b/>
          <w:color w:val="000000"/>
          <w:sz w:val="28"/>
          <w:szCs w:val="28"/>
        </w:rPr>
      </w:pPr>
      <w:r>
        <w:rPr>
          <w:b/>
          <w:color w:val="000000"/>
          <w:sz w:val="28"/>
          <w:szCs w:val="28"/>
        </w:rPr>
        <w:t>2o. Secretário: Mariah Ultramari (Spektra-SP)</w:t>
      </w:r>
    </w:p>
    <w:p w14:paraId="696A7F0E" w14:textId="77777777" w:rsidR="007B5141" w:rsidRDefault="00000000">
      <w:pPr>
        <w:spacing w:after="0"/>
        <w:ind w:right="0" w:firstLine="0"/>
        <w:jc w:val="center"/>
        <w:rPr>
          <w:b/>
          <w:color w:val="000000"/>
          <w:sz w:val="28"/>
          <w:szCs w:val="28"/>
        </w:rPr>
      </w:pPr>
      <w:r>
        <w:rPr>
          <w:b/>
          <w:color w:val="000000"/>
          <w:sz w:val="28"/>
          <w:szCs w:val="28"/>
        </w:rPr>
        <w:t>1o. Tesoureiro: Eduardo Geraldo de Campos (Appalachian State University-EUA)</w:t>
      </w:r>
    </w:p>
    <w:p w14:paraId="35992AD5" w14:textId="482F5C26" w:rsidR="007B5141" w:rsidRDefault="00000000">
      <w:pPr>
        <w:spacing w:after="0"/>
        <w:ind w:right="0" w:firstLine="0"/>
        <w:jc w:val="center"/>
        <w:rPr>
          <w:b/>
          <w:color w:val="000000"/>
          <w:sz w:val="28"/>
          <w:szCs w:val="28"/>
        </w:rPr>
      </w:pPr>
      <w:bookmarkStart w:id="0" w:name="_heading=h.3uyfcjxt075w"/>
      <w:bookmarkEnd w:id="0"/>
      <w:r>
        <w:rPr>
          <w:b/>
          <w:color w:val="000000"/>
          <w:sz w:val="28"/>
          <w:szCs w:val="28"/>
        </w:rPr>
        <w:t>2o. Tesoureiro: Rachel Picada Bulcão (PC</w:t>
      </w:r>
      <w:r w:rsidR="009D2D1E">
        <w:rPr>
          <w:b/>
          <w:color w:val="000000"/>
          <w:sz w:val="28"/>
          <w:szCs w:val="28"/>
        </w:rPr>
        <w:t>P</w:t>
      </w:r>
      <w:r>
        <w:rPr>
          <w:b/>
          <w:color w:val="000000"/>
          <w:sz w:val="28"/>
          <w:szCs w:val="28"/>
        </w:rPr>
        <w:t>-PR)</w:t>
      </w:r>
    </w:p>
    <w:p w14:paraId="500CF2B0" w14:textId="77777777" w:rsidR="007B5141" w:rsidRDefault="007B5141">
      <w:pPr>
        <w:spacing w:after="0"/>
        <w:ind w:firstLine="0"/>
        <w:jc w:val="center"/>
        <w:rPr>
          <w:sz w:val="28"/>
          <w:szCs w:val="28"/>
          <w:highlight w:val="yellow"/>
        </w:rPr>
      </w:pPr>
    </w:p>
    <w:p w14:paraId="1BC72474" w14:textId="77777777" w:rsidR="007B5141" w:rsidRDefault="007B5141">
      <w:pPr>
        <w:ind w:firstLine="0"/>
        <w:jc w:val="center"/>
        <w:rPr>
          <w:sz w:val="32"/>
          <w:szCs w:val="32"/>
        </w:rPr>
      </w:pPr>
    </w:p>
    <w:p w14:paraId="41CE39CD" w14:textId="77777777" w:rsidR="007B5141" w:rsidRDefault="00000000">
      <w:pPr>
        <w:rPr>
          <w:sz w:val="32"/>
          <w:szCs w:val="32"/>
        </w:rPr>
      </w:pPr>
      <w:r>
        <w:br w:type="page"/>
      </w:r>
    </w:p>
    <w:p w14:paraId="1F8C4823" w14:textId="77777777" w:rsidR="007B5141" w:rsidRDefault="007B5141">
      <w:pPr>
        <w:ind w:firstLine="0"/>
        <w:jc w:val="center"/>
        <w:rPr>
          <w:sz w:val="32"/>
          <w:szCs w:val="32"/>
        </w:rPr>
      </w:pPr>
    </w:p>
    <w:p w14:paraId="63B8384F" w14:textId="77777777" w:rsidR="007B5141" w:rsidRDefault="00000000">
      <w:pPr>
        <w:keepNext/>
        <w:keepLines/>
        <w:tabs>
          <w:tab w:val="left" w:pos="960"/>
        </w:tabs>
        <w:spacing w:before="240" w:after="0" w:line="259" w:lineRule="auto"/>
        <w:ind w:right="0" w:firstLine="0"/>
        <w:jc w:val="center"/>
        <w:rPr>
          <w:b/>
          <w:color w:val="000000"/>
          <w:sz w:val="32"/>
          <w:szCs w:val="32"/>
        </w:rPr>
      </w:pPr>
      <w:r>
        <w:rPr>
          <w:b/>
          <w:color w:val="000000"/>
          <w:sz w:val="32"/>
          <w:szCs w:val="32"/>
        </w:rPr>
        <w:t>Sumário</w:t>
      </w:r>
    </w:p>
    <w:p w14:paraId="2D55277C" w14:textId="77777777" w:rsidR="007B5141" w:rsidRDefault="007B5141">
      <w:pPr>
        <w:ind w:firstLine="0"/>
        <w:rPr>
          <w:sz w:val="28"/>
          <w:szCs w:val="28"/>
        </w:rPr>
      </w:pPr>
    </w:p>
    <w:sdt>
      <w:sdtPr>
        <w:rPr>
          <w:rFonts w:ascii="Times New Roman" w:eastAsia="Times New Roman" w:hAnsi="Times New Roman" w:cs="Times New Roman"/>
          <w:color w:val="auto"/>
          <w:sz w:val="22"/>
          <w:szCs w:val="22"/>
          <w:lang w:val="pt-BR" w:eastAsia="pt-BR"/>
        </w:rPr>
        <w:id w:val="1897383931"/>
        <w:docPartObj>
          <w:docPartGallery w:val="Table of Contents"/>
          <w:docPartUnique/>
        </w:docPartObj>
      </w:sdtPr>
      <w:sdtContent>
        <w:p w14:paraId="36D89265" w14:textId="77777777" w:rsidR="007B5141" w:rsidRDefault="007B5141">
          <w:pPr>
            <w:pStyle w:val="CabealhodoSumrio"/>
            <w:spacing w:before="0"/>
            <w:rPr>
              <w:b/>
              <w:sz w:val="24"/>
              <w:szCs w:val="24"/>
            </w:rPr>
          </w:pPr>
        </w:p>
        <w:p w14:paraId="3082EA15" w14:textId="0F692D64" w:rsidR="000900EB" w:rsidRPr="000900EB" w:rsidRDefault="00000000">
          <w:pPr>
            <w:pStyle w:val="Sumrio1"/>
            <w:tabs>
              <w:tab w:val="left" w:pos="1320"/>
              <w:tab w:val="right" w:leader="dot" w:pos="9344"/>
            </w:tabs>
            <w:rPr>
              <w:rFonts w:asciiTheme="minorHAnsi" w:eastAsiaTheme="minorEastAsia" w:hAnsiTheme="minorHAnsi" w:cstheme="minorBidi"/>
              <w:b/>
              <w:bCs/>
              <w:noProof/>
            </w:rPr>
          </w:pPr>
          <w:r>
            <w:fldChar w:fldCharType="begin"/>
          </w:r>
          <w:r>
            <w:rPr>
              <w:rStyle w:val="Vnculodendice"/>
              <w:webHidden/>
              <w:sz w:val="24"/>
              <w:szCs w:val="24"/>
            </w:rPr>
            <w:instrText xml:space="preserve"> TOC \z \o "1-3" \u \h</w:instrText>
          </w:r>
          <w:r>
            <w:rPr>
              <w:rStyle w:val="Vnculodendice"/>
              <w:sz w:val="24"/>
              <w:szCs w:val="24"/>
            </w:rPr>
            <w:fldChar w:fldCharType="separate"/>
          </w:r>
          <w:hyperlink w:anchor="_Toc165645806" w:history="1">
            <w:r w:rsidR="000900EB" w:rsidRPr="000900EB">
              <w:rPr>
                <w:rStyle w:val="Hyperlink"/>
                <w:b/>
                <w:bCs/>
                <w:noProof/>
                <w:color w:val="auto"/>
              </w:rPr>
              <w:t xml:space="preserve">1. </w:t>
            </w:r>
            <w:r w:rsidR="000900EB" w:rsidRPr="000900EB">
              <w:rPr>
                <w:rFonts w:asciiTheme="minorHAnsi" w:eastAsiaTheme="minorEastAsia" w:hAnsiTheme="minorHAnsi" w:cstheme="minorBidi"/>
                <w:b/>
                <w:bCs/>
                <w:noProof/>
              </w:rPr>
              <w:tab/>
            </w:r>
            <w:r w:rsidR="000900EB" w:rsidRPr="000900EB">
              <w:rPr>
                <w:rStyle w:val="Hyperlink"/>
                <w:b/>
                <w:bCs/>
                <w:noProof/>
                <w:color w:val="auto"/>
              </w:rPr>
              <w:t>INTRODUÇÃO</w:t>
            </w:r>
            <w:r w:rsidR="000900EB" w:rsidRPr="000900EB">
              <w:rPr>
                <w:b/>
                <w:bCs/>
                <w:noProof/>
                <w:webHidden/>
              </w:rPr>
              <w:tab/>
            </w:r>
            <w:r w:rsidR="000900EB" w:rsidRPr="000900EB">
              <w:rPr>
                <w:b/>
                <w:bCs/>
                <w:noProof/>
                <w:webHidden/>
              </w:rPr>
              <w:fldChar w:fldCharType="begin"/>
            </w:r>
            <w:r w:rsidR="000900EB" w:rsidRPr="000900EB">
              <w:rPr>
                <w:b/>
                <w:bCs/>
                <w:noProof/>
                <w:webHidden/>
              </w:rPr>
              <w:instrText xml:space="preserve"> PAGEREF _Toc165645806 \h </w:instrText>
            </w:r>
            <w:r w:rsidR="000900EB" w:rsidRPr="000900EB">
              <w:rPr>
                <w:b/>
                <w:bCs/>
                <w:noProof/>
                <w:webHidden/>
              </w:rPr>
            </w:r>
            <w:r w:rsidR="000900EB" w:rsidRPr="000900EB">
              <w:rPr>
                <w:b/>
                <w:bCs/>
                <w:noProof/>
                <w:webHidden/>
              </w:rPr>
              <w:fldChar w:fldCharType="separate"/>
            </w:r>
            <w:r w:rsidR="00100BBE">
              <w:rPr>
                <w:b/>
                <w:bCs/>
                <w:noProof/>
                <w:webHidden/>
              </w:rPr>
              <w:t>4</w:t>
            </w:r>
            <w:r w:rsidR="000900EB" w:rsidRPr="000900EB">
              <w:rPr>
                <w:b/>
                <w:bCs/>
                <w:noProof/>
                <w:webHidden/>
              </w:rPr>
              <w:fldChar w:fldCharType="end"/>
            </w:r>
          </w:hyperlink>
        </w:p>
        <w:p w14:paraId="295AED2A" w14:textId="3534B79C" w:rsidR="000900EB" w:rsidRPr="000900EB" w:rsidRDefault="00000000">
          <w:pPr>
            <w:pStyle w:val="Sumrio1"/>
            <w:tabs>
              <w:tab w:val="left" w:pos="1320"/>
              <w:tab w:val="right" w:leader="dot" w:pos="9344"/>
            </w:tabs>
            <w:rPr>
              <w:rFonts w:asciiTheme="minorHAnsi" w:eastAsiaTheme="minorEastAsia" w:hAnsiTheme="minorHAnsi" w:cstheme="minorBidi"/>
              <w:b/>
              <w:bCs/>
              <w:noProof/>
            </w:rPr>
          </w:pPr>
          <w:hyperlink w:anchor="_Toc165645807" w:history="1">
            <w:r w:rsidR="000900EB" w:rsidRPr="000900EB">
              <w:rPr>
                <w:rStyle w:val="Hyperlink"/>
                <w:b/>
                <w:bCs/>
                <w:noProof/>
                <w:color w:val="auto"/>
              </w:rPr>
              <w:t xml:space="preserve">2. </w:t>
            </w:r>
            <w:r w:rsidR="000900EB" w:rsidRPr="000900EB">
              <w:rPr>
                <w:rFonts w:asciiTheme="minorHAnsi" w:eastAsiaTheme="minorEastAsia" w:hAnsiTheme="minorHAnsi" w:cstheme="minorBidi"/>
                <w:b/>
                <w:bCs/>
                <w:noProof/>
              </w:rPr>
              <w:tab/>
            </w:r>
            <w:r w:rsidR="000900EB" w:rsidRPr="000900EB">
              <w:rPr>
                <w:rStyle w:val="Hyperlink"/>
                <w:b/>
                <w:bCs/>
                <w:noProof/>
                <w:color w:val="auto"/>
              </w:rPr>
              <w:t>ESCOPO</w:t>
            </w:r>
            <w:r w:rsidR="000900EB" w:rsidRPr="000900EB">
              <w:rPr>
                <w:b/>
                <w:bCs/>
                <w:noProof/>
                <w:webHidden/>
              </w:rPr>
              <w:tab/>
            </w:r>
            <w:r w:rsidR="000900EB" w:rsidRPr="000900EB">
              <w:rPr>
                <w:b/>
                <w:bCs/>
                <w:noProof/>
                <w:webHidden/>
              </w:rPr>
              <w:fldChar w:fldCharType="begin"/>
            </w:r>
            <w:r w:rsidR="000900EB" w:rsidRPr="000900EB">
              <w:rPr>
                <w:b/>
                <w:bCs/>
                <w:noProof/>
                <w:webHidden/>
              </w:rPr>
              <w:instrText xml:space="preserve"> PAGEREF _Toc165645807 \h </w:instrText>
            </w:r>
            <w:r w:rsidR="000900EB" w:rsidRPr="000900EB">
              <w:rPr>
                <w:b/>
                <w:bCs/>
                <w:noProof/>
                <w:webHidden/>
              </w:rPr>
            </w:r>
            <w:r w:rsidR="000900EB" w:rsidRPr="000900EB">
              <w:rPr>
                <w:b/>
                <w:bCs/>
                <w:noProof/>
                <w:webHidden/>
              </w:rPr>
              <w:fldChar w:fldCharType="separate"/>
            </w:r>
            <w:r w:rsidR="00100BBE">
              <w:rPr>
                <w:b/>
                <w:bCs/>
                <w:noProof/>
                <w:webHidden/>
              </w:rPr>
              <w:t>6</w:t>
            </w:r>
            <w:r w:rsidR="000900EB" w:rsidRPr="000900EB">
              <w:rPr>
                <w:b/>
                <w:bCs/>
                <w:noProof/>
                <w:webHidden/>
              </w:rPr>
              <w:fldChar w:fldCharType="end"/>
            </w:r>
          </w:hyperlink>
        </w:p>
        <w:p w14:paraId="20492D51" w14:textId="489CF19B" w:rsidR="000900EB" w:rsidRPr="000900EB" w:rsidRDefault="00000000">
          <w:pPr>
            <w:pStyle w:val="Sumrio1"/>
            <w:tabs>
              <w:tab w:val="left" w:pos="1320"/>
              <w:tab w:val="right" w:leader="dot" w:pos="9344"/>
            </w:tabs>
            <w:rPr>
              <w:rFonts w:asciiTheme="minorHAnsi" w:eastAsiaTheme="minorEastAsia" w:hAnsiTheme="minorHAnsi" w:cstheme="minorBidi"/>
              <w:b/>
              <w:bCs/>
              <w:noProof/>
            </w:rPr>
          </w:pPr>
          <w:hyperlink w:anchor="_Toc165645808" w:history="1">
            <w:r w:rsidR="000900EB" w:rsidRPr="000900EB">
              <w:rPr>
                <w:rStyle w:val="Hyperlink"/>
                <w:b/>
                <w:bCs/>
                <w:noProof/>
                <w:color w:val="auto"/>
              </w:rPr>
              <w:t>3.</w:t>
            </w:r>
            <w:r w:rsidR="000900EB" w:rsidRPr="000900EB">
              <w:rPr>
                <w:rFonts w:asciiTheme="minorHAnsi" w:eastAsiaTheme="minorEastAsia" w:hAnsiTheme="minorHAnsi" w:cstheme="minorBidi"/>
                <w:b/>
                <w:bCs/>
                <w:noProof/>
              </w:rPr>
              <w:tab/>
            </w:r>
            <w:r w:rsidR="000900EB" w:rsidRPr="000900EB">
              <w:rPr>
                <w:rStyle w:val="Hyperlink"/>
                <w:b/>
                <w:bCs/>
                <w:noProof/>
                <w:color w:val="auto"/>
              </w:rPr>
              <w:t>COLETA DE AMOSTRA E CADEIA DE CUSTÓDIA</w:t>
            </w:r>
            <w:r w:rsidR="000900EB" w:rsidRPr="000900EB">
              <w:rPr>
                <w:b/>
                <w:bCs/>
                <w:noProof/>
                <w:webHidden/>
              </w:rPr>
              <w:tab/>
            </w:r>
            <w:r w:rsidR="000900EB" w:rsidRPr="000900EB">
              <w:rPr>
                <w:b/>
                <w:bCs/>
                <w:noProof/>
                <w:webHidden/>
              </w:rPr>
              <w:fldChar w:fldCharType="begin"/>
            </w:r>
            <w:r w:rsidR="000900EB" w:rsidRPr="000900EB">
              <w:rPr>
                <w:b/>
                <w:bCs/>
                <w:noProof/>
                <w:webHidden/>
              </w:rPr>
              <w:instrText xml:space="preserve"> PAGEREF _Toc165645808 \h </w:instrText>
            </w:r>
            <w:r w:rsidR="000900EB" w:rsidRPr="000900EB">
              <w:rPr>
                <w:b/>
                <w:bCs/>
                <w:noProof/>
                <w:webHidden/>
              </w:rPr>
            </w:r>
            <w:r w:rsidR="000900EB" w:rsidRPr="000900EB">
              <w:rPr>
                <w:b/>
                <w:bCs/>
                <w:noProof/>
                <w:webHidden/>
              </w:rPr>
              <w:fldChar w:fldCharType="separate"/>
            </w:r>
            <w:r w:rsidR="00100BBE">
              <w:rPr>
                <w:b/>
                <w:bCs/>
                <w:noProof/>
                <w:webHidden/>
              </w:rPr>
              <w:t>7</w:t>
            </w:r>
            <w:r w:rsidR="000900EB" w:rsidRPr="000900EB">
              <w:rPr>
                <w:b/>
                <w:bCs/>
                <w:noProof/>
                <w:webHidden/>
              </w:rPr>
              <w:fldChar w:fldCharType="end"/>
            </w:r>
          </w:hyperlink>
        </w:p>
        <w:p w14:paraId="325C33B9" w14:textId="111CD60C" w:rsidR="000900EB" w:rsidRPr="000900EB" w:rsidRDefault="00000000">
          <w:pPr>
            <w:pStyle w:val="Sumrio2"/>
            <w:tabs>
              <w:tab w:val="left" w:pos="1540"/>
              <w:tab w:val="right" w:leader="dot" w:pos="9344"/>
            </w:tabs>
            <w:rPr>
              <w:rFonts w:asciiTheme="minorHAnsi" w:eastAsiaTheme="minorEastAsia" w:hAnsiTheme="minorHAnsi" w:cstheme="minorBidi"/>
              <w:b/>
              <w:bCs/>
              <w:noProof/>
            </w:rPr>
          </w:pPr>
          <w:hyperlink w:anchor="_Toc165645809" w:history="1">
            <w:r w:rsidR="000900EB" w:rsidRPr="000900EB">
              <w:rPr>
                <w:rStyle w:val="Hyperlink"/>
                <w:b/>
                <w:bCs/>
                <w:noProof/>
                <w:color w:val="auto"/>
              </w:rPr>
              <w:t>3.1</w:t>
            </w:r>
            <w:r w:rsidR="000900EB" w:rsidRPr="000900EB">
              <w:rPr>
                <w:rFonts w:asciiTheme="minorHAnsi" w:eastAsiaTheme="minorEastAsia" w:hAnsiTheme="minorHAnsi" w:cstheme="minorBidi"/>
                <w:b/>
                <w:bCs/>
                <w:noProof/>
              </w:rPr>
              <w:tab/>
            </w:r>
            <w:r w:rsidR="000900EB" w:rsidRPr="000900EB">
              <w:rPr>
                <w:rStyle w:val="Hyperlink"/>
                <w:b/>
                <w:bCs/>
                <w:noProof/>
                <w:color w:val="auto"/>
              </w:rPr>
              <w:t>Amostra biológica para o exame</w:t>
            </w:r>
            <w:r w:rsidR="000900EB" w:rsidRPr="000900EB">
              <w:rPr>
                <w:b/>
                <w:bCs/>
                <w:noProof/>
                <w:webHidden/>
              </w:rPr>
              <w:tab/>
            </w:r>
            <w:r w:rsidR="000900EB" w:rsidRPr="000900EB">
              <w:rPr>
                <w:b/>
                <w:bCs/>
                <w:noProof/>
                <w:webHidden/>
              </w:rPr>
              <w:fldChar w:fldCharType="begin"/>
            </w:r>
            <w:r w:rsidR="000900EB" w:rsidRPr="000900EB">
              <w:rPr>
                <w:b/>
                <w:bCs/>
                <w:noProof/>
                <w:webHidden/>
              </w:rPr>
              <w:instrText xml:space="preserve"> PAGEREF _Toc165645809 \h </w:instrText>
            </w:r>
            <w:r w:rsidR="000900EB" w:rsidRPr="000900EB">
              <w:rPr>
                <w:b/>
                <w:bCs/>
                <w:noProof/>
                <w:webHidden/>
              </w:rPr>
            </w:r>
            <w:r w:rsidR="000900EB" w:rsidRPr="000900EB">
              <w:rPr>
                <w:b/>
                <w:bCs/>
                <w:noProof/>
                <w:webHidden/>
              </w:rPr>
              <w:fldChar w:fldCharType="separate"/>
            </w:r>
            <w:r w:rsidR="00100BBE">
              <w:rPr>
                <w:b/>
                <w:bCs/>
                <w:noProof/>
                <w:webHidden/>
              </w:rPr>
              <w:t>7</w:t>
            </w:r>
            <w:r w:rsidR="000900EB" w:rsidRPr="000900EB">
              <w:rPr>
                <w:b/>
                <w:bCs/>
                <w:noProof/>
                <w:webHidden/>
              </w:rPr>
              <w:fldChar w:fldCharType="end"/>
            </w:r>
          </w:hyperlink>
        </w:p>
        <w:p w14:paraId="16391BFF" w14:textId="7E74B87C" w:rsidR="000900EB" w:rsidRPr="000900EB" w:rsidRDefault="00000000">
          <w:pPr>
            <w:pStyle w:val="Sumrio2"/>
            <w:tabs>
              <w:tab w:val="left" w:pos="1540"/>
              <w:tab w:val="right" w:leader="dot" w:pos="9344"/>
            </w:tabs>
            <w:rPr>
              <w:rFonts w:asciiTheme="minorHAnsi" w:eastAsiaTheme="minorEastAsia" w:hAnsiTheme="minorHAnsi" w:cstheme="minorBidi"/>
              <w:b/>
              <w:bCs/>
              <w:noProof/>
            </w:rPr>
          </w:pPr>
          <w:hyperlink w:anchor="_Toc165645810" w:history="1">
            <w:r w:rsidR="000900EB" w:rsidRPr="000900EB">
              <w:rPr>
                <w:rStyle w:val="Hyperlink"/>
                <w:b/>
                <w:bCs/>
                <w:noProof/>
                <w:color w:val="auto"/>
              </w:rPr>
              <w:t>3.2</w:t>
            </w:r>
            <w:r w:rsidR="000900EB" w:rsidRPr="000900EB">
              <w:rPr>
                <w:rFonts w:asciiTheme="minorHAnsi" w:eastAsiaTheme="minorEastAsia" w:hAnsiTheme="minorHAnsi" w:cstheme="minorBidi"/>
                <w:b/>
                <w:bCs/>
                <w:noProof/>
              </w:rPr>
              <w:tab/>
            </w:r>
            <w:r w:rsidR="000900EB" w:rsidRPr="000900EB">
              <w:rPr>
                <w:rStyle w:val="Hyperlink"/>
                <w:b/>
                <w:bCs/>
                <w:noProof/>
                <w:color w:val="auto"/>
              </w:rPr>
              <w:t>Cadeia de custódia e documentação</w:t>
            </w:r>
            <w:r w:rsidR="000900EB" w:rsidRPr="000900EB">
              <w:rPr>
                <w:b/>
                <w:bCs/>
                <w:noProof/>
                <w:webHidden/>
              </w:rPr>
              <w:tab/>
            </w:r>
            <w:r w:rsidR="000900EB" w:rsidRPr="000900EB">
              <w:rPr>
                <w:b/>
                <w:bCs/>
                <w:noProof/>
                <w:webHidden/>
              </w:rPr>
              <w:fldChar w:fldCharType="begin"/>
            </w:r>
            <w:r w:rsidR="000900EB" w:rsidRPr="000900EB">
              <w:rPr>
                <w:b/>
                <w:bCs/>
                <w:noProof/>
                <w:webHidden/>
              </w:rPr>
              <w:instrText xml:space="preserve"> PAGEREF _Toc165645810 \h </w:instrText>
            </w:r>
            <w:r w:rsidR="000900EB" w:rsidRPr="000900EB">
              <w:rPr>
                <w:b/>
                <w:bCs/>
                <w:noProof/>
                <w:webHidden/>
              </w:rPr>
            </w:r>
            <w:r w:rsidR="000900EB" w:rsidRPr="000900EB">
              <w:rPr>
                <w:b/>
                <w:bCs/>
                <w:noProof/>
                <w:webHidden/>
              </w:rPr>
              <w:fldChar w:fldCharType="separate"/>
            </w:r>
            <w:r w:rsidR="00100BBE">
              <w:rPr>
                <w:b/>
                <w:bCs/>
                <w:noProof/>
                <w:webHidden/>
              </w:rPr>
              <w:t>8</w:t>
            </w:r>
            <w:r w:rsidR="000900EB" w:rsidRPr="000900EB">
              <w:rPr>
                <w:b/>
                <w:bCs/>
                <w:noProof/>
                <w:webHidden/>
              </w:rPr>
              <w:fldChar w:fldCharType="end"/>
            </w:r>
          </w:hyperlink>
        </w:p>
        <w:p w14:paraId="27F3CCAC" w14:textId="1E50ABD1" w:rsidR="000900EB" w:rsidRPr="000900EB" w:rsidRDefault="00000000">
          <w:pPr>
            <w:pStyle w:val="Sumrio2"/>
            <w:tabs>
              <w:tab w:val="left" w:pos="1540"/>
              <w:tab w:val="right" w:leader="dot" w:pos="9344"/>
            </w:tabs>
            <w:rPr>
              <w:rFonts w:asciiTheme="minorHAnsi" w:eastAsiaTheme="minorEastAsia" w:hAnsiTheme="minorHAnsi" w:cstheme="minorBidi"/>
              <w:b/>
              <w:bCs/>
              <w:noProof/>
            </w:rPr>
          </w:pPr>
          <w:hyperlink w:anchor="_Toc165645811" w:history="1">
            <w:r w:rsidR="000900EB" w:rsidRPr="000900EB">
              <w:rPr>
                <w:rStyle w:val="Hyperlink"/>
                <w:b/>
                <w:bCs/>
                <w:noProof/>
                <w:color w:val="auto"/>
              </w:rPr>
              <w:t>3.3</w:t>
            </w:r>
            <w:r w:rsidR="000900EB" w:rsidRPr="000900EB">
              <w:rPr>
                <w:rFonts w:asciiTheme="minorHAnsi" w:eastAsiaTheme="minorEastAsia" w:hAnsiTheme="minorHAnsi" w:cstheme="minorBidi"/>
                <w:b/>
                <w:bCs/>
                <w:noProof/>
              </w:rPr>
              <w:tab/>
            </w:r>
            <w:r w:rsidR="000900EB" w:rsidRPr="000900EB">
              <w:rPr>
                <w:rStyle w:val="Hyperlink"/>
                <w:b/>
                <w:bCs/>
                <w:noProof/>
                <w:color w:val="auto"/>
              </w:rPr>
              <w:t>Transporte e armazenamento de amostras</w:t>
            </w:r>
            <w:r w:rsidR="000900EB" w:rsidRPr="000900EB">
              <w:rPr>
                <w:b/>
                <w:bCs/>
                <w:noProof/>
                <w:webHidden/>
              </w:rPr>
              <w:tab/>
            </w:r>
            <w:r w:rsidR="000900EB" w:rsidRPr="000900EB">
              <w:rPr>
                <w:b/>
                <w:bCs/>
                <w:noProof/>
                <w:webHidden/>
              </w:rPr>
              <w:fldChar w:fldCharType="begin"/>
            </w:r>
            <w:r w:rsidR="000900EB" w:rsidRPr="000900EB">
              <w:rPr>
                <w:b/>
                <w:bCs/>
                <w:noProof/>
                <w:webHidden/>
              </w:rPr>
              <w:instrText xml:space="preserve"> PAGEREF _Toc165645811 \h </w:instrText>
            </w:r>
            <w:r w:rsidR="000900EB" w:rsidRPr="000900EB">
              <w:rPr>
                <w:b/>
                <w:bCs/>
                <w:noProof/>
                <w:webHidden/>
              </w:rPr>
            </w:r>
            <w:r w:rsidR="000900EB" w:rsidRPr="000900EB">
              <w:rPr>
                <w:b/>
                <w:bCs/>
                <w:noProof/>
                <w:webHidden/>
              </w:rPr>
              <w:fldChar w:fldCharType="separate"/>
            </w:r>
            <w:r w:rsidR="00100BBE">
              <w:rPr>
                <w:b/>
                <w:bCs/>
                <w:noProof/>
                <w:webHidden/>
              </w:rPr>
              <w:t>9</w:t>
            </w:r>
            <w:r w:rsidR="000900EB" w:rsidRPr="000900EB">
              <w:rPr>
                <w:b/>
                <w:bCs/>
                <w:noProof/>
                <w:webHidden/>
              </w:rPr>
              <w:fldChar w:fldCharType="end"/>
            </w:r>
          </w:hyperlink>
        </w:p>
        <w:p w14:paraId="4EFF9D74" w14:textId="05599EC8" w:rsidR="000900EB" w:rsidRPr="000900EB" w:rsidRDefault="00000000">
          <w:pPr>
            <w:pStyle w:val="Sumrio1"/>
            <w:tabs>
              <w:tab w:val="left" w:pos="1320"/>
              <w:tab w:val="right" w:leader="dot" w:pos="9344"/>
            </w:tabs>
            <w:rPr>
              <w:rFonts w:asciiTheme="minorHAnsi" w:eastAsiaTheme="minorEastAsia" w:hAnsiTheme="minorHAnsi" w:cstheme="minorBidi"/>
              <w:b/>
              <w:bCs/>
              <w:noProof/>
            </w:rPr>
          </w:pPr>
          <w:hyperlink w:anchor="_Toc165645812" w:history="1">
            <w:r w:rsidR="000900EB" w:rsidRPr="000900EB">
              <w:rPr>
                <w:rStyle w:val="Hyperlink"/>
                <w:b/>
                <w:bCs/>
                <w:noProof/>
                <w:color w:val="auto"/>
              </w:rPr>
              <w:t>4.</w:t>
            </w:r>
            <w:r w:rsidR="000900EB" w:rsidRPr="000900EB">
              <w:rPr>
                <w:rFonts w:asciiTheme="minorHAnsi" w:eastAsiaTheme="minorEastAsia" w:hAnsiTheme="minorHAnsi" w:cstheme="minorBidi"/>
                <w:b/>
                <w:bCs/>
                <w:noProof/>
              </w:rPr>
              <w:tab/>
            </w:r>
            <w:r w:rsidR="000900EB" w:rsidRPr="000900EB">
              <w:rPr>
                <w:rStyle w:val="Hyperlink"/>
                <w:b/>
                <w:bCs/>
                <w:noProof/>
                <w:color w:val="auto"/>
              </w:rPr>
              <w:t>LABORATÓRIO DE ANÁLISES E PROCEDIMENTOS</w:t>
            </w:r>
            <w:r w:rsidR="000900EB" w:rsidRPr="000900EB">
              <w:rPr>
                <w:b/>
                <w:bCs/>
                <w:noProof/>
                <w:webHidden/>
              </w:rPr>
              <w:tab/>
            </w:r>
            <w:r w:rsidR="000900EB" w:rsidRPr="000900EB">
              <w:rPr>
                <w:b/>
                <w:bCs/>
                <w:noProof/>
                <w:webHidden/>
              </w:rPr>
              <w:fldChar w:fldCharType="begin"/>
            </w:r>
            <w:r w:rsidR="000900EB" w:rsidRPr="000900EB">
              <w:rPr>
                <w:b/>
                <w:bCs/>
                <w:noProof/>
                <w:webHidden/>
              </w:rPr>
              <w:instrText xml:space="preserve"> PAGEREF _Toc165645812 \h </w:instrText>
            </w:r>
            <w:r w:rsidR="000900EB" w:rsidRPr="000900EB">
              <w:rPr>
                <w:b/>
                <w:bCs/>
                <w:noProof/>
                <w:webHidden/>
              </w:rPr>
            </w:r>
            <w:r w:rsidR="000900EB" w:rsidRPr="000900EB">
              <w:rPr>
                <w:b/>
                <w:bCs/>
                <w:noProof/>
                <w:webHidden/>
              </w:rPr>
              <w:fldChar w:fldCharType="separate"/>
            </w:r>
            <w:r w:rsidR="00100BBE">
              <w:rPr>
                <w:b/>
                <w:bCs/>
                <w:noProof/>
                <w:webHidden/>
              </w:rPr>
              <w:t>10</w:t>
            </w:r>
            <w:r w:rsidR="000900EB" w:rsidRPr="000900EB">
              <w:rPr>
                <w:b/>
                <w:bCs/>
                <w:noProof/>
                <w:webHidden/>
              </w:rPr>
              <w:fldChar w:fldCharType="end"/>
            </w:r>
          </w:hyperlink>
        </w:p>
        <w:p w14:paraId="3F48431B" w14:textId="095E6A92" w:rsidR="000900EB" w:rsidRPr="000900EB" w:rsidRDefault="00000000">
          <w:pPr>
            <w:pStyle w:val="Sumrio2"/>
            <w:tabs>
              <w:tab w:val="left" w:pos="1540"/>
              <w:tab w:val="right" w:leader="dot" w:pos="9344"/>
            </w:tabs>
            <w:rPr>
              <w:rFonts w:asciiTheme="minorHAnsi" w:eastAsiaTheme="minorEastAsia" w:hAnsiTheme="minorHAnsi" w:cstheme="minorBidi"/>
              <w:b/>
              <w:bCs/>
              <w:noProof/>
            </w:rPr>
          </w:pPr>
          <w:hyperlink w:anchor="_Toc165645813" w:history="1">
            <w:r w:rsidR="000900EB" w:rsidRPr="000900EB">
              <w:rPr>
                <w:rStyle w:val="Hyperlink"/>
                <w:b/>
                <w:bCs/>
                <w:noProof/>
                <w:color w:val="auto"/>
              </w:rPr>
              <w:t>4.1</w:t>
            </w:r>
            <w:r w:rsidR="000900EB" w:rsidRPr="000900EB">
              <w:rPr>
                <w:rFonts w:asciiTheme="minorHAnsi" w:eastAsiaTheme="minorEastAsia" w:hAnsiTheme="minorHAnsi" w:cstheme="minorBidi"/>
                <w:b/>
                <w:bCs/>
                <w:noProof/>
              </w:rPr>
              <w:tab/>
            </w:r>
            <w:r w:rsidR="000900EB" w:rsidRPr="000900EB">
              <w:rPr>
                <w:rStyle w:val="Hyperlink"/>
                <w:b/>
                <w:bCs/>
                <w:noProof/>
                <w:color w:val="auto"/>
              </w:rPr>
              <w:t>Boas práticas de laboratório</w:t>
            </w:r>
            <w:r w:rsidR="000900EB" w:rsidRPr="000900EB">
              <w:rPr>
                <w:b/>
                <w:bCs/>
                <w:noProof/>
                <w:webHidden/>
              </w:rPr>
              <w:tab/>
            </w:r>
            <w:r w:rsidR="000900EB" w:rsidRPr="000900EB">
              <w:rPr>
                <w:b/>
                <w:bCs/>
                <w:noProof/>
                <w:webHidden/>
              </w:rPr>
              <w:fldChar w:fldCharType="begin"/>
            </w:r>
            <w:r w:rsidR="000900EB" w:rsidRPr="000900EB">
              <w:rPr>
                <w:b/>
                <w:bCs/>
                <w:noProof/>
                <w:webHidden/>
              </w:rPr>
              <w:instrText xml:space="preserve"> PAGEREF _Toc165645813 \h </w:instrText>
            </w:r>
            <w:r w:rsidR="000900EB" w:rsidRPr="000900EB">
              <w:rPr>
                <w:b/>
                <w:bCs/>
                <w:noProof/>
                <w:webHidden/>
              </w:rPr>
            </w:r>
            <w:r w:rsidR="000900EB" w:rsidRPr="000900EB">
              <w:rPr>
                <w:b/>
                <w:bCs/>
                <w:noProof/>
                <w:webHidden/>
              </w:rPr>
              <w:fldChar w:fldCharType="separate"/>
            </w:r>
            <w:r w:rsidR="00100BBE">
              <w:rPr>
                <w:b/>
                <w:bCs/>
                <w:noProof/>
                <w:webHidden/>
              </w:rPr>
              <w:t>10</w:t>
            </w:r>
            <w:r w:rsidR="000900EB" w:rsidRPr="000900EB">
              <w:rPr>
                <w:b/>
                <w:bCs/>
                <w:noProof/>
                <w:webHidden/>
              </w:rPr>
              <w:fldChar w:fldCharType="end"/>
            </w:r>
          </w:hyperlink>
        </w:p>
        <w:p w14:paraId="52434616" w14:textId="4DF1FC78" w:rsidR="000900EB" w:rsidRPr="000900EB" w:rsidRDefault="00000000">
          <w:pPr>
            <w:pStyle w:val="Sumrio2"/>
            <w:tabs>
              <w:tab w:val="left" w:pos="1540"/>
              <w:tab w:val="right" w:leader="dot" w:pos="9344"/>
            </w:tabs>
            <w:rPr>
              <w:rFonts w:asciiTheme="minorHAnsi" w:eastAsiaTheme="minorEastAsia" w:hAnsiTheme="minorHAnsi" w:cstheme="minorBidi"/>
              <w:b/>
              <w:bCs/>
              <w:noProof/>
            </w:rPr>
          </w:pPr>
          <w:hyperlink w:anchor="_Toc165645814" w:history="1">
            <w:r w:rsidR="000900EB" w:rsidRPr="000900EB">
              <w:rPr>
                <w:rStyle w:val="Hyperlink"/>
                <w:b/>
                <w:bCs/>
                <w:noProof/>
                <w:color w:val="auto"/>
              </w:rPr>
              <w:t>4.2</w:t>
            </w:r>
            <w:r w:rsidR="000900EB" w:rsidRPr="000900EB">
              <w:rPr>
                <w:rFonts w:asciiTheme="minorHAnsi" w:eastAsiaTheme="minorEastAsia" w:hAnsiTheme="minorHAnsi" w:cstheme="minorBidi"/>
                <w:b/>
                <w:bCs/>
                <w:noProof/>
              </w:rPr>
              <w:tab/>
            </w:r>
            <w:r w:rsidR="000900EB" w:rsidRPr="000900EB">
              <w:rPr>
                <w:rStyle w:val="Hyperlink"/>
                <w:b/>
                <w:bCs/>
                <w:noProof/>
                <w:color w:val="auto"/>
              </w:rPr>
              <w:t>Exames toxicológicos de triagem e confirmação</w:t>
            </w:r>
            <w:r w:rsidR="000900EB" w:rsidRPr="000900EB">
              <w:rPr>
                <w:b/>
                <w:bCs/>
                <w:noProof/>
                <w:webHidden/>
              </w:rPr>
              <w:tab/>
            </w:r>
            <w:r w:rsidR="000900EB" w:rsidRPr="000900EB">
              <w:rPr>
                <w:b/>
                <w:bCs/>
                <w:noProof/>
                <w:webHidden/>
              </w:rPr>
              <w:fldChar w:fldCharType="begin"/>
            </w:r>
            <w:r w:rsidR="000900EB" w:rsidRPr="000900EB">
              <w:rPr>
                <w:b/>
                <w:bCs/>
                <w:noProof/>
                <w:webHidden/>
              </w:rPr>
              <w:instrText xml:space="preserve"> PAGEREF _Toc165645814 \h </w:instrText>
            </w:r>
            <w:r w:rsidR="000900EB" w:rsidRPr="000900EB">
              <w:rPr>
                <w:b/>
                <w:bCs/>
                <w:noProof/>
                <w:webHidden/>
              </w:rPr>
            </w:r>
            <w:r w:rsidR="000900EB" w:rsidRPr="000900EB">
              <w:rPr>
                <w:b/>
                <w:bCs/>
                <w:noProof/>
                <w:webHidden/>
              </w:rPr>
              <w:fldChar w:fldCharType="separate"/>
            </w:r>
            <w:r w:rsidR="00100BBE">
              <w:rPr>
                <w:b/>
                <w:bCs/>
                <w:noProof/>
                <w:webHidden/>
              </w:rPr>
              <w:t>11</w:t>
            </w:r>
            <w:r w:rsidR="000900EB" w:rsidRPr="000900EB">
              <w:rPr>
                <w:b/>
                <w:bCs/>
                <w:noProof/>
                <w:webHidden/>
              </w:rPr>
              <w:fldChar w:fldCharType="end"/>
            </w:r>
          </w:hyperlink>
        </w:p>
        <w:p w14:paraId="79E4ADAE" w14:textId="004868C0" w:rsidR="000900EB" w:rsidRPr="000900EB" w:rsidRDefault="00000000">
          <w:pPr>
            <w:pStyle w:val="Sumrio2"/>
            <w:tabs>
              <w:tab w:val="left" w:pos="1540"/>
              <w:tab w:val="right" w:leader="dot" w:pos="9344"/>
            </w:tabs>
            <w:rPr>
              <w:rFonts w:asciiTheme="minorHAnsi" w:eastAsiaTheme="minorEastAsia" w:hAnsiTheme="minorHAnsi" w:cstheme="minorBidi"/>
              <w:b/>
              <w:bCs/>
              <w:noProof/>
            </w:rPr>
          </w:pPr>
          <w:hyperlink w:anchor="_Toc165645815" w:history="1">
            <w:r w:rsidR="000900EB" w:rsidRPr="000900EB">
              <w:rPr>
                <w:rStyle w:val="Hyperlink"/>
                <w:b/>
                <w:bCs/>
                <w:noProof/>
                <w:color w:val="auto"/>
              </w:rPr>
              <w:t>4.3</w:t>
            </w:r>
            <w:r w:rsidR="000900EB" w:rsidRPr="000900EB">
              <w:rPr>
                <w:rFonts w:asciiTheme="minorHAnsi" w:eastAsiaTheme="minorEastAsia" w:hAnsiTheme="minorHAnsi" w:cstheme="minorBidi"/>
                <w:b/>
                <w:bCs/>
                <w:noProof/>
              </w:rPr>
              <w:tab/>
            </w:r>
            <w:r w:rsidR="000900EB" w:rsidRPr="000900EB">
              <w:rPr>
                <w:rStyle w:val="Hyperlink"/>
                <w:b/>
                <w:bCs/>
                <w:noProof/>
                <w:color w:val="auto"/>
              </w:rPr>
              <w:t>Critérios para identificação de analitos alvo</w:t>
            </w:r>
            <w:r w:rsidR="000900EB" w:rsidRPr="000900EB">
              <w:rPr>
                <w:b/>
                <w:bCs/>
                <w:noProof/>
                <w:webHidden/>
              </w:rPr>
              <w:tab/>
            </w:r>
            <w:r w:rsidR="000900EB" w:rsidRPr="000900EB">
              <w:rPr>
                <w:b/>
                <w:bCs/>
                <w:noProof/>
                <w:webHidden/>
              </w:rPr>
              <w:fldChar w:fldCharType="begin"/>
            </w:r>
            <w:r w:rsidR="000900EB" w:rsidRPr="000900EB">
              <w:rPr>
                <w:b/>
                <w:bCs/>
                <w:noProof/>
                <w:webHidden/>
              </w:rPr>
              <w:instrText xml:space="preserve"> PAGEREF _Toc165645815 \h </w:instrText>
            </w:r>
            <w:r w:rsidR="000900EB" w:rsidRPr="000900EB">
              <w:rPr>
                <w:b/>
                <w:bCs/>
                <w:noProof/>
                <w:webHidden/>
              </w:rPr>
            </w:r>
            <w:r w:rsidR="000900EB" w:rsidRPr="000900EB">
              <w:rPr>
                <w:b/>
                <w:bCs/>
                <w:noProof/>
                <w:webHidden/>
              </w:rPr>
              <w:fldChar w:fldCharType="separate"/>
            </w:r>
            <w:r w:rsidR="00100BBE">
              <w:rPr>
                <w:b/>
                <w:bCs/>
                <w:noProof/>
                <w:webHidden/>
              </w:rPr>
              <w:t>12</w:t>
            </w:r>
            <w:r w:rsidR="000900EB" w:rsidRPr="000900EB">
              <w:rPr>
                <w:b/>
                <w:bCs/>
                <w:noProof/>
                <w:webHidden/>
              </w:rPr>
              <w:fldChar w:fldCharType="end"/>
            </w:r>
          </w:hyperlink>
        </w:p>
        <w:p w14:paraId="54E7D76F" w14:textId="7F74926B" w:rsidR="000900EB" w:rsidRPr="000900EB" w:rsidRDefault="00000000">
          <w:pPr>
            <w:pStyle w:val="Sumrio2"/>
            <w:tabs>
              <w:tab w:val="left" w:pos="1540"/>
              <w:tab w:val="right" w:leader="dot" w:pos="9344"/>
            </w:tabs>
            <w:rPr>
              <w:rFonts w:asciiTheme="minorHAnsi" w:eastAsiaTheme="minorEastAsia" w:hAnsiTheme="minorHAnsi" w:cstheme="minorBidi"/>
              <w:b/>
              <w:bCs/>
              <w:noProof/>
            </w:rPr>
          </w:pPr>
          <w:hyperlink w:anchor="_Toc165645816" w:history="1">
            <w:r w:rsidR="000900EB" w:rsidRPr="000900EB">
              <w:rPr>
                <w:rStyle w:val="Hyperlink"/>
                <w:b/>
                <w:bCs/>
                <w:noProof/>
                <w:color w:val="auto"/>
              </w:rPr>
              <w:t>4.4</w:t>
            </w:r>
            <w:r w:rsidR="000900EB" w:rsidRPr="000900EB">
              <w:rPr>
                <w:rFonts w:asciiTheme="minorHAnsi" w:eastAsiaTheme="minorEastAsia" w:hAnsiTheme="minorHAnsi" w:cstheme="minorBidi"/>
                <w:b/>
                <w:bCs/>
                <w:noProof/>
              </w:rPr>
              <w:tab/>
            </w:r>
            <w:r w:rsidR="000900EB" w:rsidRPr="000900EB">
              <w:rPr>
                <w:rStyle w:val="Hyperlink"/>
                <w:b/>
                <w:bCs/>
                <w:noProof/>
                <w:color w:val="auto"/>
              </w:rPr>
              <w:t>Análise da amostra</w:t>
            </w:r>
            <w:r w:rsidR="000900EB" w:rsidRPr="000900EB">
              <w:rPr>
                <w:b/>
                <w:bCs/>
                <w:noProof/>
                <w:webHidden/>
              </w:rPr>
              <w:tab/>
            </w:r>
            <w:r w:rsidR="000900EB" w:rsidRPr="000900EB">
              <w:rPr>
                <w:b/>
                <w:bCs/>
                <w:noProof/>
                <w:webHidden/>
              </w:rPr>
              <w:fldChar w:fldCharType="begin"/>
            </w:r>
            <w:r w:rsidR="000900EB" w:rsidRPr="000900EB">
              <w:rPr>
                <w:b/>
                <w:bCs/>
                <w:noProof/>
                <w:webHidden/>
              </w:rPr>
              <w:instrText xml:space="preserve"> PAGEREF _Toc165645816 \h </w:instrText>
            </w:r>
            <w:r w:rsidR="000900EB" w:rsidRPr="000900EB">
              <w:rPr>
                <w:b/>
                <w:bCs/>
                <w:noProof/>
                <w:webHidden/>
              </w:rPr>
            </w:r>
            <w:r w:rsidR="000900EB" w:rsidRPr="000900EB">
              <w:rPr>
                <w:b/>
                <w:bCs/>
                <w:noProof/>
                <w:webHidden/>
              </w:rPr>
              <w:fldChar w:fldCharType="separate"/>
            </w:r>
            <w:r w:rsidR="00100BBE">
              <w:rPr>
                <w:b/>
                <w:bCs/>
                <w:noProof/>
                <w:webHidden/>
              </w:rPr>
              <w:t>14</w:t>
            </w:r>
            <w:r w:rsidR="000900EB" w:rsidRPr="000900EB">
              <w:rPr>
                <w:b/>
                <w:bCs/>
                <w:noProof/>
                <w:webHidden/>
              </w:rPr>
              <w:fldChar w:fldCharType="end"/>
            </w:r>
          </w:hyperlink>
        </w:p>
        <w:p w14:paraId="5D409477" w14:textId="0D4F184E" w:rsidR="000900EB" w:rsidRPr="000900EB" w:rsidRDefault="00000000">
          <w:pPr>
            <w:pStyle w:val="Sumrio2"/>
            <w:tabs>
              <w:tab w:val="left" w:pos="1540"/>
              <w:tab w:val="right" w:leader="dot" w:pos="9344"/>
            </w:tabs>
            <w:rPr>
              <w:rFonts w:asciiTheme="minorHAnsi" w:eastAsiaTheme="minorEastAsia" w:hAnsiTheme="minorHAnsi" w:cstheme="minorBidi"/>
              <w:b/>
              <w:bCs/>
              <w:noProof/>
            </w:rPr>
          </w:pPr>
          <w:hyperlink w:anchor="_Toc165645817" w:history="1">
            <w:r w:rsidR="000900EB" w:rsidRPr="000900EB">
              <w:rPr>
                <w:rStyle w:val="Hyperlink"/>
                <w:b/>
                <w:bCs/>
                <w:noProof/>
                <w:color w:val="auto"/>
              </w:rPr>
              <w:t>4.5</w:t>
            </w:r>
            <w:r w:rsidR="000900EB" w:rsidRPr="000900EB">
              <w:rPr>
                <w:rFonts w:asciiTheme="minorHAnsi" w:eastAsiaTheme="minorEastAsia" w:hAnsiTheme="minorHAnsi" w:cstheme="minorBidi"/>
                <w:b/>
                <w:bCs/>
                <w:noProof/>
              </w:rPr>
              <w:tab/>
            </w:r>
            <w:r w:rsidR="000900EB" w:rsidRPr="000900EB">
              <w:rPr>
                <w:rStyle w:val="Hyperlink"/>
                <w:b/>
                <w:bCs/>
                <w:noProof/>
                <w:color w:val="auto"/>
              </w:rPr>
              <w:t>Validação analítica e controle de qualidade</w:t>
            </w:r>
            <w:r w:rsidR="000900EB" w:rsidRPr="000900EB">
              <w:rPr>
                <w:b/>
                <w:bCs/>
                <w:noProof/>
                <w:webHidden/>
              </w:rPr>
              <w:tab/>
            </w:r>
            <w:r w:rsidR="000900EB" w:rsidRPr="000900EB">
              <w:rPr>
                <w:b/>
                <w:bCs/>
                <w:noProof/>
                <w:webHidden/>
              </w:rPr>
              <w:fldChar w:fldCharType="begin"/>
            </w:r>
            <w:r w:rsidR="000900EB" w:rsidRPr="000900EB">
              <w:rPr>
                <w:b/>
                <w:bCs/>
                <w:noProof/>
                <w:webHidden/>
              </w:rPr>
              <w:instrText xml:space="preserve"> PAGEREF _Toc165645817 \h </w:instrText>
            </w:r>
            <w:r w:rsidR="000900EB" w:rsidRPr="000900EB">
              <w:rPr>
                <w:b/>
                <w:bCs/>
                <w:noProof/>
                <w:webHidden/>
              </w:rPr>
            </w:r>
            <w:r w:rsidR="000900EB" w:rsidRPr="000900EB">
              <w:rPr>
                <w:b/>
                <w:bCs/>
                <w:noProof/>
                <w:webHidden/>
              </w:rPr>
              <w:fldChar w:fldCharType="separate"/>
            </w:r>
            <w:r w:rsidR="00100BBE">
              <w:rPr>
                <w:b/>
                <w:bCs/>
                <w:noProof/>
                <w:webHidden/>
              </w:rPr>
              <w:t>14</w:t>
            </w:r>
            <w:r w:rsidR="000900EB" w:rsidRPr="000900EB">
              <w:rPr>
                <w:b/>
                <w:bCs/>
                <w:noProof/>
                <w:webHidden/>
              </w:rPr>
              <w:fldChar w:fldCharType="end"/>
            </w:r>
          </w:hyperlink>
        </w:p>
        <w:p w14:paraId="118C7C97" w14:textId="16821ABA" w:rsidR="000900EB" w:rsidRPr="000900EB" w:rsidRDefault="00000000">
          <w:pPr>
            <w:pStyle w:val="Sumrio2"/>
            <w:tabs>
              <w:tab w:val="left" w:pos="1540"/>
              <w:tab w:val="right" w:leader="dot" w:pos="9344"/>
            </w:tabs>
            <w:rPr>
              <w:rFonts w:asciiTheme="minorHAnsi" w:eastAsiaTheme="minorEastAsia" w:hAnsiTheme="minorHAnsi" w:cstheme="minorBidi"/>
              <w:b/>
              <w:bCs/>
              <w:noProof/>
            </w:rPr>
          </w:pPr>
          <w:hyperlink w:anchor="_Toc165645818" w:history="1">
            <w:r w:rsidR="000900EB" w:rsidRPr="000900EB">
              <w:rPr>
                <w:rStyle w:val="Hyperlink"/>
                <w:b/>
                <w:bCs/>
                <w:noProof/>
                <w:color w:val="auto"/>
              </w:rPr>
              <w:t>4.6</w:t>
            </w:r>
            <w:r w:rsidR="000900EB" w:rsidRPr="000900EB">
              <w:rPr>
                <w:rFonts w:asciiTheme="minorHAnsi" w:eastAsiaTheme="minorEastAsia" w:hAnsiTheme="minorHAnsi" w:cstheme="minorBidi"/>
                <w:b/>
                <w:bCs/>
                <w:noProof/>
              </w:rPr>
              <w:tab/>
            </w:r>
            <w:r w:rsidR="000900EB" w:rsidRPr="000900EB">
              <w:rPr>
                <w:rStyle w:val="Hyperlink"/>
                <w:b/>
                <w:bCs/>
                <w:noProof/>
                <w:color w:val="auto"/>
              </w:rPr>
              <w:t>Apresentação do resultado</w:t>
            </w:r>
            <w:r w:rsidR="000900EB" w:rsidRPr="000900EB">
              <w:rPr>
                <w:b/>
                <w:bCs/>
                <w:noProof/>
                <w:webHidden/>
              </w:rPr>
              <w:tab/>
            </w:r>
            <w:r w:rsidR="000900EB" w:rsidRPr="000900EB">
              <w:rPr>
                <w:b/>
                <w:bCs/>
                <w:noProof/>
                <w:webHidden/>
              </w:rPr>
              <w:fldChar w:fldCharType="begin"/>
            </w:r>
            <w:r w:rsidR="000900EB" w:rsidRPr="000900EB">
              <w:rPr>
                <w:b/>
                <w:bCs/>
                <w:noProof/>
                <w:webHidden/>
              </w:rPr>
              <w:instrText xml:space="preserve"> PAGEREF _Toc165645818 \h </w:instrText>
            </w:r>
            <w:r w:rsidR="000900EB" w:rsidRPr="000900EB">
              <w:rPr>
                <w:b/>
                <w:bCs/>
                <w:noProof/>
                <w:webHidden/>
              </w:rPr>
            </w:r>
            <w:r w:rsidR="000900EB" w:rsidRPr="000900EB">
              <w:rPr>
                <w:b/>
                <w:bCs/>
                <w:noProof/>
                <w:webHidden/>
              </w:rPr>
              <w:fldChar w:fldCharType="separate"/>
            </w:r>
            <w:r w:rsidR="00100BBE">
              <w:rPr>
                <w:b/>
                <w:bCs/>
                <w:noProof/>
                <w:webHidden/>
              </w:rPr>
              <w:t>15</w:t>
            </w:r>
            <w:r w:rsidR="000900EB" w:rsidRPr="000900EB">
              <w:rPr>
                <w:b/>
                <w:bCs/>
                <w:noProof/>
                <w:webHidden/>
              </w:rPr>
              <w:fldChar w:fldCharType="end"/>
            </w:r>
          </w:hyperlink>
        </w:p>
        <w:p w14:paraId="55945AC9" w14:textId="49603FE7" w:rsidR="000900EB" w:rsidRDefault="00000000">
          <w:pPr>
            <w:pStyle w:val="Sumrio1"/>
            <w:tabs>
              <w:tab w:val="right" w:leader="dot" w:pos="9344"/>
            </w:tabs>
            <w:rPr>
              <w:rFonts w:asciiTheme="minorHAnsi" w:eastAsiaTheme="minorEastAsia" w:hAnsiTheme="minorHAnsi" w:cstheme="minorBidi"/>
              <w:noProof/>
            </w:rPr>
          </w:pPr>
          <w:hyperlink w:anchor="_Toc165645819" w:history="1">
            <w:r w:rsidR="000900EB" w:rsidRPr="000900EB">
              <w:rPr>
                <w:rStyle w:val="Hyperlink"/>
                <w:b/>
                <w:bCs/>
                <w:noProof/>
                <w:color w:val="auto"/>
              </w:rPr>
              <w:t>REFERÊNCIAS</w:t>
            </w:r>
            <w:r w:rsidR="000900EB" w:rsidRPr="000900EB">
              <w:rPr>
                <w:b/>
                <w:bCs/>
                <w:noProof/>
                <w:webHidden/>
              </w:rPr>
              <w:tab/>
            </w:r>
            <w:r w:rsidR="000900EB" w:rsidRPr="000900EB">
              <w:rPr>
                <w:b/>
                <w:bCs/>
                <w:noProof/>
                <w:webHidden/>
              </w:rPr>
              <w:fldChar w:fldCharType="begin"/>
            </w:r>
            <w:r w:rsidR="000900EB" w:rsidRPr="000900EB">
              <w:rPr>
                <w:b/>
                <w:bCs/>
                <w:noProof/>
                <w:webHidden/>
              </w:rPr>
              <w:instrText xml:space="preserve"> PAGEREF _Toc165645819 \h </w:instrText>
            </w:r>
            <w:r w:rsidR="000900EB" w:rsidRPr="000900EB">
              <w:rPr>
                <w:b/>
                <w:bCs/>
                <w:noProof/>
                <w:webHidden/>
              </w:rPr>
            </w:r>
            <w:r w:rsidR="000900EB" w:rsidRPr="000900EB">
              <w:rPr>
                <w:b/>
                <w:bCs/>
                <w:noProof/>
                <w:webHidden/>
              </w:rPr>
              <w:fldChar w:fldCharType="separate"/>
            </w:r>
            <w:r w:rsidR="00100BBE">
              <w:rPr>
                <w:b/>
                <w:bCs/>
                <w:noProof/>
                <w:webHidden/>
              </w:rPr>
              <w:t>16</w:t>
            </w:r>
            <w:r w:rsidR="000900EB" w:rsidRPr="000900EB">
              <w:rPr>
                <w:b/>
                <w:bCs/>
                <w:noProof/>
                <w:webHidden/>
              </w:rPr>
              <w:fldChar w:fldCharType="end"/>
            </w:r>
          </w:hyperlink>
        </w:p>
        <w:p w14:paraId="68FAF450" w14:textId="376BB81F" w:rsidR="007B5141" w:rsidRDefault="00000000">
          <w:pPr>
            <w:pStyle w:val="Sumrio1"/>
            <w:tabs>
              <w:tab w:val="right" w:leader="dot" w:pos="9338"/>
            </w:tabs>
            <w:rPr>
              <w:rFonts w:asciiTheme="minorHAnsi" w:eastAsiaTheme="minorEastAsia" w:hAnsiTheme="minorHAnsi" w:cstheme="minorBidi"/>
              <w:sz w:val="24"/>
              <w:szCs w:val="24"/>
            </w:rPr>
          </w:pPr>
          <w:r>
            <w:rPr>
              <w:rStyle w:val="Vnculodendice"/>
              <w:sz w:val="24"/>
              <w:szCs w:val="24"/>
            </w:rPr>
            <w:fldChar w:fldCharType="end"/>
          </w:r>
        </w:p>
      </w:sdtContent>
    </w:sdt>
    <w:p w14:paraId="7E7B8ED4" w14:textId="77777777" w:rsidR="007B5141" w:rsidRDefault="007B5141"/>
    <w:p w14:paraId="65235F30" w14:textId="77777777" w:rsidR="007B5141" w:rsidRDefault="00000000">
      <w:pPr>
        <w:rPr>
          <w:b/>
          <w:sz w:val="24"/>
          <w:szCs w:val="24"/>
        </w:rPr>
      </w:pPr>
      <w:r>
        <w:br w:type="page"/>
      </w:r>
    </w:p>
    <w:p w14:paraId="19079E2A" w14:textId="77777777" w:rsidR="007B5141" w:rsidRDefault="00000000">
      <w:pPr>
        <w:pStyle w:val="Ttulo1"/>
        <w:rPr>
          <w:b w:val="0"/>
          <w:color w:val="000000"/>
          <w:sz w:val="24"/>
          <w:szCs w:val="24"/>
        </w:rPr>
      </w:pPr>
      <w:bookmarkStart w:id="1" w:name="_heading=h.gjdgxs"/>
      <w:bookmarkStart w:id="2" w:name="_Toc165645806"/>
      <w:bookmarkEnd w:id="1"/>
      <w:r>
        <w:rPr>
          <w:color w:val="000000"/>
          <w:sz w:val="24"/>
          <w:szCs w:val="24"/>
        </w:rPr>
        <w:lastRenderedPageBreak/>
        <w:t xml:space="preserve">1. </w:t>
      </w:r>
      <w:r>
        <w:rPr>
          <w:color w:val="000000"/>
          <w:sz w:val="24"/>
          <w:szCs w:val="24"/>
        </w:rPr>
        <w:tab/>
        <w:t>INTRODUÇÃO</w:t>
      </w:r>
      <w:bookmarkEnd w:id="2"/>
    </w:p>
    <w:p w14:paraId="544B700C" w14:textId="77777777" w:rsidR="007B5141" w:rsidRDefault="00000000">
      <w:pPr>
        <w:rPr>
          <w:sz w:val="24"/>
          <w:szCs w:val="24"/>
        </w:rPr>
      </w:pPr>
      <w:r>
        <w:rPr>
          <w:sz w:val="24"/>
          <w:szCs w:val="24"/>
        </w:rPr>
        <w:t>A Sociedade Brasileira de Toxicologia (SBTox), ciente de seu papel de balizar a Ciência que representa, elaborou este documento com diretrizes para o exame toxicológico em amostras de sangue total para fins de investigação de trânsito, incluindo recomendações sobre as etapas de coleta, armazenamento, análise e apresentação de resultados. O objetivo deste documento é apresentar critérios mínimos que assegurem um padrão de qualidade definido como cientificamente correto, juridicamente seguro e em harmonia com as práticas adotadas em outros países.</w:t>
      </w:r>
    </w:p>
    <w:p w14:paraId="6D165E70" w14:textId="77777777" w:rsidR="007B5141" w:rsidRDefault="00000000">
      <w:pPr>
        <w:rPr>
          <w:sz w:val="24"/>
          <w:szCs w:val="24"/>
        </w:rPr>
      </w:pPr>
      <w:r>
        <w:rPr>
          <w:sz w:val="24"/>
          <w:szCs w:val="24"/>
        </w:rPr>
        <w:t xml:space="preserve">O Art. 165 do Código Brasileiro de Trânsito (Lei Federal no 9503/1997) estabelece como infração de trânsito o ato de dirigir sob a influência de álcool ou </w:t>
      </w:r>
      <w:r>
        <w:rPr>
          <w:b/>
          <w:sz w:val="24"/>
          <w:szCs w:val="24"/>
        </w:rPr>
        <w:t>de qualquer outra substância psicoativa que determine dependência</w:t>
      </w:r>
      <w:r>
        <w:rPr>
          <w:sz w:val="24"/>
          <w:szCs w:val="24"/>
        </w:rPr>
        <w:t xml:space="preserve">. Por sua vez, o Art. 306 do mesmo diploma legal estabelece como crime o ato de conduzir veículo automotor </w:t>
      </w:r>
      <w:r>
        <w:rPr>
          <w:b/>
          <w:sz w:val="24"/>
          <w:szCs w:val="24"/>
        </w:rPr>
        <w:t xml:space="preserve">com capacidade psicomotora alterada em razão da influência </w:t>
      </w:r>
      <w:r>
        <w:rPr>
          <w:sz w:val="24"/>
          <w:szCs w:val="24"/>
        </w:rPr>
        <w:t>de álcool ou d</w:t>
      </w:r>
      <w:r>
        <w:rPr>
          <w:b/>
          <w:sz w:val="24"/>
          <w:szCs w:val="24"/>
        </w:rPr>
        <w:t>e outra substância psicoativa que determine dependência</w:t>
      </w:r>
      <w:r>
        <w:rPr>
          <w:sz w:val="24"/>
          <w:szCs w:val="24"/>
        </w:rPr>
        <w:t xml:space="preserve">. Ademais, para </w:t>
      </w:r>
      <w:r>
        <w:rPr>
          <w:sz w:val="24"/>
          <w:szCs w:val="24"/>
          <w:highlight w:val="white"/>
        </w:rPr>
        <w:t xml:space="preserve">certificar da influência de álcool ou </w:t>
      </w:r>
      <w:r>
        <w:rPr>
          <w:b/>
          <w:sz w:val="24"/>
          <w:szCs w:val="24"/>
          <w:highlight w:val="white"/>
        </w:rPr>
        <w:t xml:space="preserve">outra substância psicoativa que determine dependência, </w:t>
      </w:r>
      <w:r>
        <w:rPr>
          <w:sz w:val="24"/>
          <w:szCs w:val="24"/>
        </w:rPr>
        <w:t xml:space="preserve">o Art. 277 do mesmo diploma legal prevê que </w:t>
      </w:r>
      <w:r>
        <w:rPr>
          <w:sz w:val="24"/>
          <w:szCs w:val="24"/>
          <w:highlight w:val="white"/>
        </w:rPr>
        <w:t xml:space="preserve">condutor de veículo automotor envolvido em sinistro de trânsito ou que for alvo de fiscalização de trânsito poderá ser submetido a teste, exame clínico, perícia ou outro procedimento que, por meios técnicos ou científicos, na forma disciplinada pelo </w:t>
      </w:r>
      <w:r>
        <w:rPr>
          <w:sz w:val="24"/>
          <w:szCs w:val="24"/>
        </w:rPr>
        <w:t>Conselho Nacional de Trânsito (CONTRAN)</w:t>
      </w:r>
      <w:r>
        <w:rPr>
          <w:sz w:val="24"/>
          <w:szCs w:val="24"/>
          <w:highlight w:val="white"/>
        </w:rPr>
        <w:t>, permita certificar influência de álcool ou outra substância psicoativa que determine dependência.</w:t>
      </w:r>
    </w:p>
    <w:p w14:paraId="0E31E5FA" w14:textId="77777777" w:rsidR="007B5141" w:rsidRDefault="00000000">
      <w:pPr>
        <w:rPr>
          <w:sz w:val="24"/>
          <w:szCs w:val="24"/>
        </w:rPr>
      </w:pPr>
      <w:r>
        <w:rPr>
          <w:sz w:val="24"/>
          <w:szCs w:val="24"/>
        </w:rPr>
        <w:t xml:space="preserve">A SBTox, em importante contribuição ao tema, publicou a DT02-2020 que versou sobre as Diretrizes para o Exame Toxicológico de Quantificação de Etanol em Sangue (alcoolemia) em consonância com o preceituado no Art. 277. Por outro lado, observa-se que não há disciplinado pelo </w:t>
      </w:r>
      <w:r>
        <w:rPr>
          <w:sz w:val="24"/>
          <w:szCs w:val="24"/>
          <w:highlight w:val="white"/>
        </w:rPr>
        <w:t>CONTRAN</w:t>
      </w:r>
      <w:r>
        <w:rPr>
          <w:sz w:val="24"/>
          <w:szCs w:val="24"/>
        </w:rPr>
        <w:t xml:space="preserve"> e nem no ordenamento jurídico brasileiro a definição sobre “</w:t>
      </w:r>
      <w:r>
        <w:rPr>
          <w:b/>
          <w:sz w:val="24"/>
          <w:szCs w:val="24"/>
          <w:highlight w:val="white"/>
        </w:rPr>
        <w:t>outra substância psicoativa que determine dependência”</w:t>
      </w:r>
      <w:r>
        <w:rPr>
          <w:sz w:val="24"/>
          <w:szCs w:val="24"/>
        </w:rPr>
        <w:t>, bem como recomendações sobre as etapas de coleta de amostras, armazenamento, análise, dentre outros.</w:t>
      </w:r>
    </w:p>
    <w:p w14:paraId="2B5061E4" w14:textId="77777777" w:rsidR="007B5141" w:rsidRDefault="00000000">
      <w:pPr>
        <w:rPr>
          <w:sz w:val="24"/>
          <w:szCs w:val="24"/>
        </w:rPr>
      </w:pPr>
      <w:r>
        <w:rPr>
          <w:sz w:val="24"/>
          <w:szCs w:val="24"/>
        </w:rPr>
        <w:t>Em verdade, embora haja previsão legal na legislação brasileira para aplicação de penalidades em condutores de veículos que estejam sob o efeito de outras substâncias psicoativas que causem dependência (drogas lícitas ou ilícitas), na prática não há ações específicas para identificação e quantificação desse problema.</w:t>
      </w:r>
    </w:p>
    <w:p w14:paraId="45C838E7" w14:textId="77777777" w:rsidR="007B5141" w:rsidRDefault="007B5141">
      <w:pPr>
        <w:rPr>
          <w:sz w:val="24"/>
          <w:szCs w:val="24"/>
        </w:rPr>
      </w:pPr>
    </w:p>
    <w:p w14:paraId="2D3BBDED" w14:textId="77777777" w:rsidR="007B5141" w:rsidRDefault="00000000">
      <w:pPr>
        <w:rPr>
          <w:sz w:val="24"/>
          <w:szCs w:val="24"/>
        </w:rPr>
      </w:pPr>
      <w:r>
        <w:rPr>
          <w:sz w:val="24"/>
          <w:szCs w:val="24"/>
        </w:rPr>
        <w:lastRenderedPageBreak/>
        <w:t>A Resolução Nº 432, de 23 de janeiro de 2013 do CONTRAN, em seu Art. 3º, determina que:</w:t>
      </w:r>
    </w:p>
    <w:p w14:paraId="67F1F5ED" w14:textId="77777777" w:rsidR="007B5141" w:rsidRDefault="00000000">
      <w:pPr>
        <w:spacing w:line="240" w:lineRule="auto"/>
        <w:ind w:left="2160" w:firstLine="0"/>
        <w:rPr>
          <w:sz w:val="24"/>
          <w:szCs w:val="24"/>
        </w:rPr>
      </w:pPr>
      <w:r>
        <w:rPr>
          <w:sz w:val="24"/>
          <w:szCs w:val="24"/>
        </w:rPr>
        <w:t>Art. 3º A confirmação da alteração da capacidade psicomotora em razão da influência de álcool ou de outra substância psicoativa que determine dependência dar-se-á por meio de, pelo menos, um dos seguintes procedimentos a serem realizados no condutor de veículo automotor:</w:t>
      </w:r>
    </w:p>
    <w:p w14:paraId="48747437" w14:textId="77777777" w:rsidR="007B5141" w:rsidRDefault="00000000">
      <w:pPr>
        <w:spacing w:line="240" w:lineRule="auto"/>
        <w:ind w:left="1440"/>
        <w:rPr>
          <w:sz w:val="24"/>
          <w:szCs w:val="24"/>
        </w:rPr>
      </w:pPr>
      <w:r>
        <w:rPr>
          <w:sz w:val="24"/>
          <w:szCs w:val="24"/>
        </w:rPr>
        <w:t>I – exame de sangue;</w:t>
      </w:r>
    </w:p>
    <w:p w14:paraId="369B4A22" w14:textId="77777777" w:rsidR="007B5141" w:rsidRDefault="00000000">
      <w:pPr>
        <w:spacing w:line="240" w:lineRule="auto"/>
        <w:ind w:left="2160" w:firstLine="0"/>
        <w:rPr>
          <w:sz w:val="24"/>
          <w:szCs w:val="24"/>
        </w:rPr>
      </w:pPr>
      <w:r>
        <w:rPr>
          <w:sz w:val="24"/>
          <w:szCs w:val="24"/>
        </w:rPr>
        <w:t>II – exames realizados por laboratórios especializados, indicados pelo órgão ou entidade de trânsito competente ou pela Polícia Judiciária, em caso de consumo de outras substâncias psicoativas que determinem dependência;</w:t>
      </w:r>
    </w:p>
    <w:p w14:paraId="7E77C042" w14:textId="77777777" w:rsidR="007B5141" w:rsidRDefault="00000000">
      <w:pPr>
        <w:spacing w:line="240" w:lineRule="auto"/>
        <w:ind w:left="2160" w:firstLine="0"/>
        <w:rPr>
          <w:sz w:val="24"/>
          <w:szCs w:val="24"/>
        </w:rPr>
      </w:pPr>
      <w:r>
        <w:rPr>
          <w:sz w:val="24"/>
          <w:szCs w:val="24"/>
        </w:rPr>
        <w:t>(...)</w:t>
      </w:r>
    </w:p>
    <w:p w14:paraId="53178FDF" w14:textId="77777777" w:rsidR="007B5141" w:rsidRDefault="00000000">
      <w:pPr>
        <w:spacing w:line="240" w:lineRule="auto"/>
        <w:ind w:firstLine="0"/>
        <w:rPr>
          <w:sz w:val="24"/>
          <w:szCs w:val="24"/>
        </w:rPr>
      </w:pPr>
      <w:r>
        <w:rPr>
          <w:sz w:val="24"/>
          <w:szCs w:val="24"/>
        </w:rPr>
        <w:tab/>
      </w:r>
    </w:p>
    <w:p w14:paraId="49F74D6E" w14:textId="77777777" w:rsidR="007B5141" w:rsidRDefault="00000000">
      <w:pPr>
        <w:rPr>
          <w:sz w:val="24"/>
          <w:szCs w:val="24"/>
        </w:rPr>
      </w:pPr>
      <w:r>
        <w:rPr>
          <w:sz w:val="24"/>
          <w:szCs w:val="24"/>
        </w:rPr>
        <w:t xml:space="preserve">Assim, torna-se evidente a necessidade de uma investigação toxicológica mais abrangente e que inclua as chamadas </w:t>
      </w:r>
      <w:r>
        <w:rPr>
          <w:b/>
          <w:sz w:val="24"/>
          <w:szCs w:val="24"/>
        </w:rPr>
        <w:t>“</w:t>
      </w:r>
      <w:r>
        <w:rPr>
          <w:b/>
          <w:sz w:val="24"/>
          <w:szCs w:val="24"/>
          <w:highlight w:val="white"/>
        </w:rPr>
        <w:t>outras substâncias psicoativas que determinem dependência”</w:t>
      </w:r>
      <w:r>
        <w:rPr>
          <w:sz w:val="24"/>
          <w:szCs w:val="24"/>
        </w:rPr>
        <w:t xml:space="preserve"> na investigação de trânsito. Dessa forma, os dados toxicológicos obtidos poderiam ser de grande utilidade para o desenvolvimento de políticas de prevenção direcionadas àqueles que dirigem sob a influência de substâncias psicoativas.</w:t>
      </w:r>
    </w:p>
    <w:p w14:paraId="2F62529F" w14:textId="77777777" w:rsidR="007B5141" w:rsidRDefault="00000000">
      <w:pPr>
        <w:rPr>
          <w:sz w:val="24"/>
          <w:szCs w:val="24"/>
        </w:rPr>
      </w:pPr>
      <w:r>
        <w:rPr>
          <w:sz w:val="24"/>
          <w:szCs w:val="24"/>
        </w:rPr>
        <w:t>De fato, a condução sob efeito de substâncias psicoativas é uma preocupação de saúde e segurança pública, e os exames toxicológicos são uma parte crítica nesse contexto. Este documento propõe a padronização do escopo analítico e da sensibilidade necessária aos exames toxicológicos realizados em amostras de sangue em investigações de acidentes de trânsito e suposta condução de veículos automotores sob efeito de substâncias psicoativas. Estes requisitos foram desenvolvidos com base na literatura científica disponível sobre o tema, bem como em diretrizes e recomendações vigentes em outros países.</w:t>
      </w:r>
    </w:p>
    <w:p w14:paraId="6A739774" w14:textId="77777777" w:rsidR="00A618FA" w:rsidRDefault="00A618FA" w:rsidP="00A618FA">
      <w:pPr>
        <w:rPr>
          <w:sz w:val="24"/>
          <w:szCs w:val="24"/>
          <w:shd w:val="clear" w:color="auto" w:fill="9FC5E8"/>
        </w:rPr>
      </w:pPr>
      <w:r>
        <w:rPr>
          <w:sz w:val="24"/>
          <w:szCs w:val="24"/>
        </w:rPr>
        <w:t>Ressalta-se pela interpretação da legislação e à luz do conhecimento científico, que os termos “</w:t>
      </w:r>
      <w:r>
        <w:rPr>
          <w:b/>
          <w:sz w:val="24"/>
          <w:szCs w:val="24"/>
        </w:rPr>
        <w:t xml:space="preserve">influência de” </w:t>
      </w:r>
      <w:r>
        <w:rPr>
          <w:sz w:val="24"/>
          <w:szCs w:val="24"/>
        </w:rPr>
        <w:t>e</w:t>
      </w:r>
      <w:r>
        <w:rPr>
          <w:b/>
          <w:sz w:val="24"/>
          <w:szCs w:val="24"/>
        </w:rPr>
        <w:t xml:space="preserve"> “capacidade psicomotora alterada” </w:t>
      </w:r>
      <w:r>
        <w:rPr>
          <w:sz w:val="24"/>
          <w:szCs w:val="24"/>
        </w:rPr>
        <w:t xml:space="preserve">suscitam a correlação entre presença da substância-efeitos farmacológicos e/ou toxicológicos tendo influenciado ou não, no evento/fato da investigação. Dessa forma, a presença de </w:t>
      </w:r>
      <w:r w:rsidRPr="000900EB">
        <w:rPr>
          <w:b/>
          <w:bCs/>
          <w:sz w:val="24"/>
          <w:szCs w:val="24"/>
        </w:rPr>
        <w:t>“outra substância psicoativa que determine dependência”</w:t>
      </w:r>
      <w:r>
        <w:rPr>
          <w:sz w:val="24"/>
          <w:szCs w:val="24"/>
        </w:rPr>
        <w:t xml:space="preserve"> apenas poderá ter correlação com o fato se for encontrada nas amostras biológicas de sangue e/ou fluido oral.</w:t>
      </w:r>
    </w:p>
    <w:p w14:paraId="3C74DDF3" w14:textId="77777777" w:rsidR="00A618FA" w:rsidRDefault="00A618FA">
      <w:pPr>
        <w:rPr>
          <w:sz w:val="24"/>
          <w:szCs w:val="24"/>
        </w:rPr>
      </w:pPr>
    </w:p>
    <w:p w14:paraId="622BDD41" w14:textId="2BB5C2A2" w:rsidR="007B5141" w:rsidRDefault="00A618FA">
      <w:pPr>
        <w:rPr>
          <w:sz w:val="24"/>
          <w:szCs w:val="24"/>
        </w:rPr>
      </w:pPr>
      <w:r>
        <w:rPr>
          <w:sz w:val="24"/>
          <w:szCs w:val="24"/>
        </w:rPr>
        <w:lastRenderedPageBreak/>
        <w:t>Portanto, apenas o sangue e o fluido oral apresentam-se como amostras adequadas para esse fim, qual seja, a correlação da presença de substâncias psicoativas nessas amostras tendo influenciado na capacidade de condução de veículos automotores.</w:t>
      </w:r>
    </w:p>
    <w:p w14:paraId="3DF154BA" w14:textId="77777777" w:rsidR="00DF589F" w:rsidRDefault="00DF589F">
      <w:pPr>
        <w:rPr>
          <w:sz w:val="24"/>
          <w:szCs w:val="24"/>
        </w:rPr>
      </w:pPr>
    </w:p>
    <w:p w14:paraId="47D3E7F2" w14:textId="77777777" w:rsidR="007B5141" w:rsidRDefault="00000000">
      <w:pPr>
        <w:pStyle w:val="Ttulo1"/>
        <w:rPr>
          <w:color w:val="000000"/>
          <w:sz w:val="24"/>
          <w:szCs w:val="24"/>
        </w:rPr>
      </w:pPr>
      <w:bookmarkStart w:id="3" w:name="_Toc165645807"/>
      <w:r>
        <w:rPr>
          <w:color w:val="000000"/>
          <w:sz w:val="24"/>
          <w:szCs w:val="24"/>
        </w:rPr>
        <w:t xml:space="preserve">2. </w:t>
      </w:r>
      <w:r>
        <w:rPr>
          <w:color w:val="000000"/>
          <w:sz w:val="24"/>
          <w:szCs w:val="24"/>
        </w:rPr>
        <w:tab/>
        <w:t>ESCOPO</w:t>
      </w:r>
      <w:bookmarkEnd w:id="3"/>
    </w:p>
    <w:p w14:paraId="277606E2" w14:textId="07E4C928" w:rsidR="007B5141" w:rsidRDefault="00000000">
      <w:pPr>
        <w:rPr>
          <w:sz w:val="24"/>
          <w:szCs w:val="24"/>
        </w:rPr>
      </w:pPr>
      <w:r>
        <w:rPr>
          <w:sz w:val="24"/>
          <w:szCs w:val="24"/>
        </w:rPr>
        <w:t xml:space="preserve">Este documento sugere quais são as principais </w:t>
      </w:r>
      <w:r>
        <w:rPr>
          <w:b/>
          <w:sz w:val="24"/>
          <w:szCs w:val="24"/>
          <w:highlight w:val="white"/>
        </w:rPr>
        <w:t xml:space="preserve">substâncias psicoativas que determinam dependência, </w:t>
      </w:r>
      <w:r>
        <w:rPr>
          <w:sz w:val="24"/>
          <w:szCs w:val="24"/>
        </w:rPr>
        <w:t xml:space="preserve">e a sensibilidade analítica para as análises toxicológicas em amostras de sangue coletadas </w:t>
      </w:r>
      <w:r w:rsidRPr="00DF589F">
        <w:rPr>
          <w:sz w:val="24"/>
          <w:szCs w:val="24"/>
        </w:rPr>
        <w:t xml:space="preserve">de indivíduos envolvidos em </w:t>
      </w:r>
      <w:r w:rsidR="00DF589F">
        <w:rPr>
          <w:sz w:val="24"/>
          <w:szCs w:val="24"/>
        </w:rPr>
        <w:t>ocorrências</w:t>
      </w:r>
      <w:r w:rsidRPr="00DF589F">
        <w:rPr>
          <w:sz w:val="24"/>
          <w:szCs w:val="24"/>
        </w:rPr>
        <w:t xml:space="preserve"> de trânsito</w:t>
      </w:r>
      <w:r>
        <w:rPr>
          <w:sz w:val="24"/>
          <w:szCs w:val="24"/>
        </w:rPr>
        <w:t xml:space="preserve"> (Tabela 1). Este documento não </w:t>
      </w:r>
      <w:r w:rsidRPr="00DF589F">
        <w:rPr>
          <w:sz w:val="24"/>
          <w:szCs w:val="24"/>
        </w:rPr>
        <w:t>prevê a análise de ar exalado, fluido oral, urina ou outros tipos de amostras biológicas</w:t>
      </w:r>
      <w:r>
        <w:rPr>
          <w:color w:val="0000FF"/>
          <w:sz w:val="24"/>
          <w:szCs w:val="24"/>
        </w:rPr>
        <w:t>.</w:t>
      </w:r>
      <w:r>
        <w:rPr>
          <w:sz w:val="24"/>
          <w:szCs w:val="24"/>
        </w:rPr>
        <w:t xml:space="preserve"> </w:t>
      </w:r>
    </w:p>
    <w:p w14:paraId="75F2C904" w14:textId="77777777" w:rsidR="007B5141" w:rsidRDefault="007B5141">
      <w:pPr>
        <w:jc w:val="center"/>
        <w:rPr>
          <w:b/>
          <w:sz w:val="24"/>
          <w:szCs w:val="24"/>
        </w:rPr>
      </w:pPr>
    </w:p>
    <w:p w14:paraId="7E169224" w14:textId="77777777" w:rsidR="007B5141" w:rsidRPr="00DF589F" w:rsidRDefault="00000000" w:rsidP="00100BBE">
      <w:pPr>
        <w:spacing w:after="0" w:line="240" w:lineRule="auto"/>
        <w:ind w:firstLine="0"/>
        <w:rPr>
          <w:sz w:val="24"/>
          <w:szCs w:val="24"/>
        </w:rPr>
      </w:pPr>
      <w:r>
        <w:rPr>
          <w:b/>
          <w:sz w:val="24"/>
          <w:szCs w:val="24"/>
        </w:rPr>
        <w:t>Tabela 1</w:t>
      </w:r>
      <w:r>
        <w:rPr>
          <w:sz w:val="24"/>
          <w:szCs w:val="24"/>
        </w:rPr>
        <w:t xml:space="preserve"> – </w:t>
      </w:r>
      <w:r w:rsidRPr="00DF589F">
        <w:rPr>
          <w:sz w:val="24"/>
          <w:szCs w:val="24"/>
        </w:rPr>
        <w:t>Alvos analíticos mínimos e sensibilidade para exame toxicológico em sangue em investigação de ocorrências de trânsito.</w:t>
      </w:r>
    </w:p>
    <w:tbl>
      <w:tblPr>
        <w:tblW w:w="9595" w:type="dxa"/>
        <w:jc w:val="center"/>
        <w:tblLayout w:type="fixed"/>
        <w:tblCellMar>
          <w:top w:w="100" w:type="dxa"/>
          <w:left w:w="100" w:type="dxa"/>
          <w:bottom w:w="100" w:type="dxa"/>
          <w:right w:w="100" w:type="dxa"/>
        </w:tblCellMar>
        <w:tblLook w:val="0600" w:firstRow="0" w:lastRow="0" w:firstColumn="0" w:lastColumn="0" w:noHBand="1" w:noVBand="1"/>
      </w:tblPr>
      <w:tblGrid>
        <w:gridCol w:w="5484"/>
        <w:gridCol w:w="1984"/>
        <w:gridCol w:w="2127"/>
      </w:tblGrid>
      <w:tr w:rsidR="007B5141" w14:paraId="66536418" w14:textId="77777777" w:rsidTr="00100BBE">
        <w:trPr>
          <w:trHeight w:val="1018"/>
          <w:jc w:val="center"/>
        </w:trPr>
        <w:tc>
          <w:tcPr>
            <w:tcW w:w="5484" w:type="dxa"/>
            <w:tcBorders>
              <w:top w:val="single" w:sz="8" w:space="0" w:color="999999"/>
              <w:left w:val="single" w:sz="8" w:space="0" w:color="999999"/>
              <w:bottom w:val="single" w:sz="8" w:space="0" w:color="999999"/>
              <w:right w:val="single" w:sz="8" w:space="0" w:color="999999"/>
            </w:tcBorders>
            <w:shd w:val="clear" w:color="auto" w:fill="B7B7B7"/>
            <w:vAlign w:val="center"/>
          </w:tcPr>
          <w:p w14:paraId="42F15A4D" w14:textId="77777777" w:rsidR="007B5141" w:rsidRDefault="00000000" w:rsidP="00100BBE">
            <w:pPr>
              <w:widowControl w:val="0"/>
              <w:spacing w:after="0" w:line="240" w:lineRule="auto"/>
              <w:ind w:right="0" w:firstLine="0"/>
              <w:jc w:val="center"/>
              <w:rPr>
                <w:b/>
                <w:sz w:val="24"/>
                <w:szCs w:val="24"/>
              </w:rPr>
            </w:pPr>
            <w:r>
              <w:rPr>
                <w:b/>
                <w:sz w:val="24"/>
                <w:szCs w:val="24"/>
              </w:rPr>
              <w:t>Substâncias investigadas (analitos alvos)</w:t>
            </w:r>
          </w:p>
        </w:tc>
        <w:tc>
          <w:tcPr>
            <w:tcW w:w="1984" w:type="dxa"/>
            <w:tcBorders>
              <w:top w:val="single" w:sz="8" w:space="0" w:color="999999"/>
              <w:left w:val="single" w:sz="8" w:space="0" w:color="999999"/>
              <w:bottom w:val="single" w:sz="8" w:space="0" w:color="999999"/>
              <w:right w:val="single" w:sz="8" w:space="0" w:color="999999"/>
            </w:tcBorders>
            <w:shd w:val="clear" w:color="auto" w:fill="B7B7B7"/>
            <w:vAlign w:val="center"/>
          </w:tcPr>
          <w:p w14:paraId="4022131D" w14:textId="47EBE92D" w:rsidR="007B5141" w:rsidRDefault="00000000" w:rsidP="00100BBE">
            <w:pPr>
              <w:widowControl w:val="0"/>
              <w:spacing w:after="0" w:line="240" w:lineRule="auto"/>
              <w:ind w:right="0" w:firstLine="0"/>
              <w:jc w:val="center"/>
              <w:rPr>
                <w:b/>
                <w:sz w:val="24"/>
                <w:szCs w:val="24"/>
              </w:rPr>
            </w:pPr>
            <w:r>
              <w:rPr>
                <w:b/>
                <w:sz w:val="24"/>
                <w:szCs w:val="24"/>
              </w:rPr>
              <w:t>TRIAGEM</w:t>
            </w:r>
          </w:p>
          <w:p w14:paraId="764422E3" w14:textId="77777777" w:rsidR="007B5141" w:rsidRDefault="00000000" w:rsidP="00100BBE">
            <w:pPr>
              <w:widowControl w:val="0"/>
              <w:spacing w:after="0" w:line="240" w:lineRule="auto"/>
              <w:ind w:right="0" w:firstLine="0"/>
              <w:jc w:val="center"/>
              <w:rPr>
                <w:b/>
                <w:sz w:val="24"/>
                <w:szCs w:val="24"/>
              </w:rPr>
            </w:pPr>
            <w:r>
              <w:rPr>
                <w:b/>
                <w:sz w:val="24"/>
                <w:szCs w:val="24"/>
              </w:rPr>
              <w:t>sensibilidade analítica em sangue (ng/mL)*</w:t>
            </w:r>
          </w:p>
        </w:tc>
        <w:tc>
          <w:tcPr>
            <w:tcW w:w="2127" w:type="dxa"/>
            <w:tcBorders>
              <w:top w:val="single" w:sz="8" w:space="0" w:color="999999"/>
              <w:left w:val="single" w:sz="8" w:space="0" w:color="999999"/>
              <w:bottom w:val="single" w:sz="8" w:space="0" w:color="999999"/>
              <w:right w:val="single" w:sz="8" w:space="0" w:color="999999"/>
            </w:tcBorders>
            <w:shd w:val="clear" w:color="auto" w:fill="B7B7B7"/>
            <w:vAlign w:val="center"/>
          </w:tcPr>
          <w:p w14:paraId="2EFB5920" w14:textId="548B25E7" w:rsidR="007B5141" w:rsidRDefault="00000000" w:rsidP="00100BBE">
            <w:pPr>
              <w:widowControl w:val="0"/>
              <w:spacing w:after="0" w:line="240" w:lineRule="auto"/>
              <w:ind w:right="0" w:firstLine="0"/>
              <w:jc w:val="center"/>
              <w:rPr>
                <w:b/>
                <w:sz w:val="24"/>
                <w:szCs w:val="24"/>
              </w:rPr>
            </w:pPr>
            <w:r>
              <w:rPr>
                <w:b/>
                <w:sz w:val="24"/>
                <w:szCs w:val="24"/>
              </w:rPr>
              <w:t>CONFIRMAÇÃO</w:t>
            </w:r>
          </w:p>
          <w:p w14:paraId="7B96E16F" w14:textId="77777777" w:rsidR="007B5141" w:rsidRDefault="00000000" w:rsidP="00100BBE">
            <w:pPr>
              <w:widowControl w:val="0"/>
              <w:spacing w:after="0" w:line="240" w:lineRule="auto"/>
              <w:ind w:right="0" w:firstLine="0"/>
              <w:jc w:val="center"/>
              <w:rPr>
                <w:b/>
                <w:sz w:val="24"/>
                <w:szCs w:val="24"/>
              </w:rPr>
            </w:pPr>
            <w:r>
              <w:rPr>
                <w:b/>
                <w:sz w:val="24"/>
                <w:szCs w:val="24"/>
              </w:rPr>
              <w:t>sensibilidade analítica em sangue (ng/mL)*</w:t>
            </w:r>
          </w:p>
        </w:tc>
      </w:tr>
      <w:tr w:rsidR="007B5141" w14:paraId="2687EE6C" w14:textId="77777777" w:rsidTr="00100BBE">
        <w:trPr>
          <w:trHeight w:val="113"/>
          <w:jc w:val="center"/>
        </w:trPr>
        <w:tc>
          <w:tcPr>
            <w:tcW w:w="54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2833E7D4" w14:textId="77777777" w:rsidR="007B5141" w:rsidRPr="00100BBE" w:rsidRDefault="00000000" w:rsidP="00100BBE">
            <w:pPr>
              <w:widowControl w:val="0"/>
              <w:spacing w:after="0" w:line="240" w:lineRule="exact"/>
              <w:ind w:right="0" w:firstLine="0"/>
              <w:jc w:val="left"/>
              <w:rPr>
                <w:sz w:val="24"/>
                <w:szCs w:val="24"/>
              </w:rPr>
            </w:pPr>
            <w:r w:rsidRPr="00100BBE">
              <w:rPr>
                <w:sz w:val="24"/>
                <w:szCs w:val="24"/>
              </w:rPr>
              <w:t>∆</w:t>
            </w:r>
            <w:r w:rsidRPr="00100BBE">
              <w:rPr>
                <w:sz w:val="24"/>
                <w:szCs w:val="24"/>
                <w:vertAlign w:val="superscript"/>
              </w:rPr>
              <w:t>9</w:t>
            </w:r>
            <w:r w:rsidRPr="00100BBE">
              <w:rPr>
                <w:sz w:val="24"/>
                <w:szCs w:val="24"/>
              </w:rPr>
              <w:t>-tetrahidrocanabinol (</w:t>
            </w:r>
            <w:r w:rsidRPr="00100BBE">
              <w:t>THC</w:t>
            </w:r>
            <w:r w:rsidRPr="00100BBE">
              <w:rPr>
                <w:sz w:val="24"/>
                <w:szCs w:val="24"/>
              </w:rPr>
              <w:t>)</w:t>
            </w:r>
          </w:p>
        </w:tc>
        <w:tc>
          <w:tcPr>
            <w:tcW w:w="19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6A517433"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w:t>
            </w:r>
          </w:p>
        </w:tc>
        <w:tc>
          <w:tcPr>
            <w:tcW w:w="2127" w:type="dxa"/>
            <w:tcBorders>
              <w:top w:val="single" w:sz="8" w:space="0" w:color="999999"/>
              <w:left w:val="single" w:sz="8" w:space="0" w:color="999999"/>
              <w:bottom w:val="single" w:sz="8" w:space="0" w:color="999999"/>
              <w:right w:val="single" w:sz="8" w:space="0" w:color="999999"/>
            </w:tcBorders>
            <w:shd w:val="clear" w:color="auto" w:fill="auto"/>
            <w:vAlign w:val="center"/>
          </w:tcPr>
          <w:p w14:paraId="51E3AD9B"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1</w:t>
            </w:r>
          </w:p>
        </w:tc>
      </w:tr>
      <w:tr w:rsidR="007B5141" w14:paraId="7E258211" w14:textId="77777777" w:rsidTr="00100BBE">
        <w:trPr>
          <w:trHeight w:val="113"/>
          <w:jc w:val="center"/>
        </w:trPr>
        <w:tc>
          <w:tcPr>
            <w:tcW w:w="54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47D27A47" w14:textId="77777777" w:rsidR="007B5141" w:rsidRPr="00100BBE" w:rsidRDefault="00000000" w:rsidP="00100BBE">
            <w:pPr>
              <w:widowControl w:val="0"/>
              <w:spacing w:after="0" w:line="240" w:lineRule="exact"/>
              <w:ind w:right="0" w:firstLine="0"/>
              <w:jc w:val="left"/>
              <w:rPr>
                <w:sz w:val="24"/>
                <w:szCs w:val="24"/>
              </w:rPr>
            </w:pPr>
            <w:r w:rsidRPr="00100BBE">
              <w:rPr>
                <w:sz w:val="24"/>
                <w:szCs w:val="24"/>
              </w:rPr>
              <w:t>11-hidroxi-∆</w:t>
            </w:r>
            <w:r w:rsidRPr="00100BBE">
              <w:rPr>
                <w:sz w:val="24"/>
                <w:szCs w:val="24"/>
                <w:vertAlign w:val="superscript"/>
              </w:rPr>
              <w:t>9</w:t>
            </w:r>
            <w:r w:rsidRPr="00100BBE">
              <w:rPr>
                <w:sz w:val="24"/>
                <w:szCs w:val="24"/>
              </w:rPr>
              <w:t>-tetrahidrocanabinol (</w:t>
            </w:r>
            <w:r w:rsidRPr="00100BBE">
              <w:t>11-OH-THC</w:t>
            </w:r>
            <w:r w:rsidRPr="00100BBE">
              <w:rPr>
                <w:sz w:val="24"/>
                <w:szCs w:val="24"/>
              </w:rPr>
              <w:t>)</w:t>
            </w:r>
          </w:p>
        </w:tc>
        <w:tc>
          <w:tcPr>
            <w:tcW w:w="19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70A9D5D9"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w:t>
            </w:r>
          </w:p>
        </w:tc>
        <w:tc>
          <w:tcPr>
            <w:tcW w:w="2127" w:type="dxa"/>
            <w:tcBorders>
              <w:top w:val="single" w:sz="8" w:space="0" w:color="999999"/>
              <w:left w:val="single" w:sz="8" w:space="0" w:color="999999"/>
              <w:bottom w:val="single" w:sz="8" w:space="0" w:color="999999"/>
              <w:right w:val="single" w:sz="8" w:space="0" w:color="999999"/>
            </w:tcBorders>
            <w:shd w:val="clear" w:color="auto" w:fill="auto"/>
            <w:vAlign w:val="center"/>
          </w:tcPr>
          <w:p w14:paraId="3E7DE0CA"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1</w:t>
            </w:r>
          </w:p>
        </w:tc>
      </w:tr>
      <w:tr w:rsidR="007B5141" w14:paraId="0AA3F334" w14:textId="77777777" w:rsidTr="00100BBE">
        <w:trPr>
          <w:trHeight w:val="113"/>
          <w:jc w:val="center"/>
        </w:trPr>
        <w:tc>
          <w:tcPr>
            <w:tcW w:w="54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7FFBBA76" w14:textId="7E175CB7" w:rsidR="007B5141" w:rsidRPr="00100BBE" w:rsidRDefault="00000000" w:rsidP="00100BBE">
            <w:pPr>
              <w:widowControl w:val="0"/>
              <w:spacing w:after="0" w:line="240" w:lineRule="exact"/>
              <w:ind w:right="0" w:firstLine="0"/>
              <w:jc w:val="left"/>
              <w:rPr>
                <w:sz w:val="24"/>
                <w:szCs w:val="24"/>
              </w:rPr>
            </w:pPr>
            <w:r w:rsidRPr="00100BBE">
              <w:rPr>
                <w:sz w:val="24"/>
                <w:szCs w:val="24"/>
              </w:rPr>
              <w:t>11-nor-9-carboxi-∆</w:t>
            </w:r>
            <w:r w:rsidRPr="00100BBE">
              <w:rPr>
                <w:sz w:val="24"/>
                <w:szCs w:val="24"/>
                <w:vertAlign w:val="superscript"/>
              </w:rPr>
              <w:t>9</w:t>
            </w:r>
            <w:r w:rsidRPr="00100BBE">
              <w:rPr>
                <w:sz w:val="24"/>
                <w:szCs w:val="24"/>
              </w:rPr>
              <w:t>-tetrahidrocanabinol (</w:t>
            </w:r>
            <w:r w:rsidRPr="00100BBE">
              <w:t>THC-COOH</w:t>
            </w:r>
            <w:r w:rsidRPr="00100BBE">
              <w:rPr>
                <w:sz w:val="24"/>
                <w:szCs w:val="24"/>
              </w:rPr>
              <w:t>)</w:t>
            </w:r>
          </w:p>
        </w:tc>
        <w:tc>
          <w:tcPr>
            <w:tcW w:w="19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772D3D78"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10</w:t>
            </w:r>
          </w:p>
        </w:tc>
        <w:tc>
          <w:tcPr>
            <w:tcW w:w="2127" w:type="dxa"/>
            <w:tcBorders>
              <w:top w:val="single" w:sz="8" w:space="0" w:color="999999"/>
              <w:left w:val="single" w:sz="8" w:space="0" w:color="999999"/>
              <w:bottom w:val="single" w:sz="8" w:space="0" w:color="999999"/>
              <w:right w:val="single" w:sz="8" w:space="0" w:color="999999"/>
            </w:tcBorders>
            <w:shd w:val="clear" w:color="auto" w:fill="auto"/>
            <w:vAlign w:val="center"/>
          </w:tcPr>
          <w:p w14:paraId="1D9C277F"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5</w:t>
            </w:r>
          </w:p>
        </w:tc>
      </w:tr>
      <w:tr w:rsidR="007B5141" w14:paraId="759A15DD" w14:textId="77777777" w:rsidTr="00100BBE">
        <w:trPr>
          <w:trHeight w:val="113"/>
          <w:jc w:val="center"/>
        </w:trPr>
        <w:tc>
          <w:tcPr>
            <w:tcW w:w="54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4EB5D0FB" w14:textId="77777777" w:rsidR="007B5141" w:rsidRPr="00100BBE" w:rsidRDefault="00000000" w:rsidP="00100BBE">
            <w:pPr>
              <w:widowControl w:val="0"/>
              <w:spacing w:after="0" w:line="240" w:lineRule="exact"/>
              <w:ind w:right="0" w:firstLine="0"/>
              <w:jc w:val="left"/>
              <w:rPr>
                <w:sz w:val="24"/>
                <w:szCs w:val="24"/>
              </w:rPr>
            </w:pPr>
            <w:r w:rsidRPr="00100BBE">
              <w:rPr>
                <w:sz w:val="24"/>
                <w:szCs w:val="24"/>
              </w:rPr>
              <w:t>Cocaína</w:t>
            </w:r>
          </w:p>
        </w:tc>
        <w:tc>
          <w:tcPr>
            <w:tcW w:w="19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301F04C7"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w:t>
            </w:r>
          </w:p>
        </w:tc>
        <w:tc>
          <w:tcPr>
            <w:tcW w:w="2127" w:type="dxa"/>
            <w:tcBorders>
              <w:top w:val="single" w:sz="8" w:space="0" w:color="999999"/>
              <w:left w:val="single" w:sz="8" w:space="0" w:color="999999"/>
              <w:bottom w:val="single" w:sz="8" w:space="0" w:color="999999"/>
              <w:right w:val="single" w:sz="8" w:space="0" w:color="999999"/>
            </w:tcBorders>
            <w:shd w:val="clear" w:color="auto" w:fill="auto"/>
            <w:vAlign w:val="center"/>
          </w:tcPr>
          <w:p w14:paraId="310706BC"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10</w:t>
            </w:r>
          </w:p>
        </w:tc>
      </w:tr>
      <w:tr w:rsidR="007B5141" w14:paraId="72CBE6FA" w14:textId="77777777" w:rsidTr="00100BBE">
        <w:trPr>
          <w:trHeight w:val="113"/>
          <w:jc w:val="center"/>
        </w:trPr>
        <w:tc>
          <w:tcPr>
            <w:tcW w:w="54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3345A8A3" w14:textId="77777777" w:rsidR="007B5141" w:rsidRPr="00100BBE" w:rsidRDefault="00000000" w:rsidP="00100BBE">
            <w:pPr>
              <w:widowControl w:val="0"/>
              <w:spacing w:after="0" w:line="240" w:lineRule="exact"/>
              <w:ind w:right="0" w:firstLine="0"/>
              <w:jc w:val="left"/>
              <w:rPr>
                <w:sz w:val="24"/>
                <w:szCs w:val="24"/>
              </w:rPr>
            </w:pPr>
            <w:r w:rsidRPr="00100BBE">
              <w:rPr>
                <w:sz w:val="24"/>
                <w:szCs w:val="24"/>
              </w:rPr>
              <w:t>Benzoilecgonina</w:t>
            </w:r>
          </w:p>
        </w:tc>
        <w:tc>
          <w:tcPr>
            <w:tcW w:w="19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126337AE"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50</w:t>
            </w:r>
          </w:p>
        </w:tc>
        <w:tc>
          <w:tcPr>
            <w:tcW w:w="2127" w:type="dxa"/>
            <w:tcBorders>
              <w:top w:val="single" w:sz="8" w:space="0" w:color="999999"/>
              <w:left w:val="single" w:sz="8" w:space="0" w:color="999999"/>
              <w:bottom w:val="single" w:sz="8" w:space="0" w:color="999999"/>
              <w:right w:val="single" w:sz="8" w:space="0" w:color="999999"/>
            </w:tcBorders>
            <w:shd w:val="clear" w:color="auto" w:fill="auto"/>
            <w:vAlign w:val="center"/>
          </w:tcPr>
          <w:p w14:paraId="035BC61D"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50</w:t>
            </w:r>
          </w:p>
        </w:tc>
      </w:tr>
      <w:tr w:rsidR="007B5141" w14:paraId="60BCF06C" w14:textId="77777777" w:rsidTr="00100BBE">
        <w:trPr>
          <w:trHeight w:val="113"/>
          <w:jc w:val="center"/>
        </w:trPr>
        <w:tc>
          <w:tcPr>
            <w:tcW w:w="54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1368F79D" w14:textId="77777777" w:rsidR="007B5141" w:rsidRPr="00100BBE" w:rsidRDefault="00000000" w:rsidP="00100BBE">
            <w:pPr>
              <w:widowControl w:val="0"/>
              <w:spacing w:after="0" w:line="240" w:lineRule="exact"/>
              <w:ind w:right="0" w:firstLine="0"/>
              <w:jc w:val="left"/>
              <w:rPr>
                <w:sz w:val="24"/>
                <w:szCs w:val="24"/>
              </w:rPr>
            </w:pPr>
            <w:r w:rsidRPr="00100BBE">
              <w:rPr>
                <w:sz w:val="24"/>
                <w:szCs w:val="24"/>
              </w:rPr>
              <w:t>Cocaetileno</w:t>
            </w:r>
          </w:p>
        </w:tc>
        <w:tc>
          <w:tcPr>
            <w:tcW w:w="19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3CF00000"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w:t>
            </w:r>
          </w:p>
        </w:tc>
        <w:tc>
          <w:tcPr>
            <w:tcW w:w="2127" w:type="dxa"/>
            <w:tcBorders>
              <w:top w:val="single" w:sz="8" w:space="0" w:color="999999"/>
              <w:left w:val="single" w:sz="8" w:space="0" w:color="999999"/>
              <w:bottom w:val="single" w:sz="8" w:space="0" w:color="999999"/>
              <w:right w:val="single" w:sz="8" w:space="0" w:color="999999"/>
            </w:tcBorders>
            <w:shd w:val="clear" w:color="auto" w:fill="auto"/>
            <w:vAlign w:val="center"/>
          </w:tcPr>
          <w:p w14:paraId="5E3CE228"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10</w:t>
            </w:r>
          </w:p>
        </w:tc>
      </w:tr>
      <w:tr w:rsidR="007B5141" w14:paraId="572487A9" w14:textId="77777777" w:rsidTr="00100BBE">
        <w:trPr>
          <w:trHeight w:val="113"/>
          <w:jc w:val="center"/>
        </w:trPr>
        <w:tc>
          <w:tcPr>
            <w:tcW w:w="54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4B603B8C" w14:textId="77777777" w:rsidR="007B5141" w:rsidRPr="00100BBE" w:rsidRDefault="00000000" w:rsidP="00100BBE">
            <w:pPr>
              <w:widowControl w:val="0"/>
              <w:spacing w:after="0" w:line="240" w:lineRule="exact"/>
              <w:ind w:right="0" w:firstLine="0"/>
              <w:jc w:val="left"/>
              <w:rPr>
                <w:sz w:val="24"/>
                <w:szCs w:val="24"/>
              </w:rPr>
            </w:pPr>
            <w:r w:rsidRPr="00100BBE">
              <w:rPr>
                <w:sz w:val="24"/>
                <w:szCs w:val="24"/>
              </w:rPr>
              <w:t>Anfetamina</w:t>
            </w:r>
          </w:p>
        </w:tc>
        <w:tc>
          <w:tcPr>
            <w:tcW w:w="19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45D93B4E"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20</w:t>
            </w:r>
          </w:p>
        </w:tc>
        <w:tc>
          <w:tcPr>
            <w:tcW w:w="2127" w:type="dxa"/>
            <w:tcBorders>
              <w:top w:val="single" w:sz="8" w:space="0" w:color="999999"/>
              <w:left w:val="single" w:sz="8" w:space="0" w:color="999999"/>
              <w:bottom w:val="single" w:sz="8" w:space="0" w:color="999999"/>
              <w:right w:val="single" w:sz="8" w:space="0" w:color="999999"/>
            </w:tcBorders>
            <w:shd w:val="clear" w:color="auto" w:fill="auto"/>
            <w:vAlign w:val="center"/>
          </w:tcPr>
          <w:p w14:paraId="39C50A2F"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20</w:t>
            </w:r>
          </w:p>
        </w:tc>
      </w:tr>
      <w:tr w:rsidR="007B5141" w14:paraId="7BF7036C" w14:textId="77777777" w:rsidTr="00100BBE">
        <w:trPr>
          <w:trHeight w:val="113"/>
          <w:jc w:val="center"/>
        </w:trPr>
        <w:tc>
          <w:tcPr>
            <w:tcW w:w="54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2F754F63" w14:textId="77777777" w:rsidR="007B5141" w:rsidRPr="00100BBE" w:rsidRDefault="00000000" w:rsidP="00100BBE">
            <w:pPr>
              <w:widowControl w:val="0"/>
              <w:spacing w:after="0" w:line="240" w:lineRule="exact"/>
              <w:ind w:right="0" w:firstLine="0"/>
              <w:jc w:val="left"/>
              <w:rPr>
                <w:sz w:val="24"/>
                <w:szCs w:val="24"/>
              </w:rPr>
            </w:pPr>
            <w:r w:rsidRPr="00100BBE">
              <w:rPr>
                <w:sz w:val="24"/>
                <w:szCs w:val="24"/>
              </w:rPr>
              <w:t>Metanfetamina</w:t>
            </w:r>
          </w:p>
        </w:tc>
        <w:tc>
          <w:tcPr>
            <w:tcW w:w="19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42735F82"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20</w:t>
            </w:r>
          </w:p>
        </w:tc>
        <w:tc>
          <w:tcPr>
            <w:tcW w:w="2127" w:type="dxa"/>
            <w:tcBorders>
              <w:top w:val="single" w:sz="8" w:space="0" w:color="999999"/>
              <w:left w:val="single" w:sz="8" w:space="0" w:color="999999"/>
              <w:bottom w:val="single" w:sz="8" w:space="0" w:color="999999"/>
              <w:right w:val="single" w:sz="8" w:space="0" w:color="999999"/>
            </w:tcBorders>
            <w:shd w:val="clear" w:color="auto" w:fill="auto"/>
            <w:vAlign w:val="center"/>
          </w:tcPr>
          <w:p w14:paraId="5F23D032"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20</w:t>
            </w:r>
          </w:p>
        </w:tc>
      </w:tr>
      <w:tr w:rsidR="007B5141" w14:paraId="3ED40791" w14:textId="77777777" w:rsidTr="00100BBE">
        <w:trPr>
          <w:trHeight w:val="113"/>
          <w:jc w:val="center"/>
        </w:trPr>
        <w:tc>
          <w:tcPr>
            <w:tcW w:w="54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4E4B50B4" w14:textId="77777777" w:rsidR="007B5141" w:rsidRPr="00100BBE" w:rsidRDefault="00000000" w:rsidP="00100BBE">
            <w:pPr>
              <w:widowControl w:val="0"/>
              <w:spacing w:after="0" w:line="240" w:lineRule="exact"/>
              <w:ind w:right="0" w:firstLine="0"/>
              <w:jc w:val="left"/>
              <w:rPr>
                <w:sz w:val="24"/>
                <w:szCs w:val="24"/>
              </w:rPr>
            </w:pPr>
            <w:r w:rsidRPr="00100BBE">
              <w:rPr>
                <w:sz w:val="24"/>
                <w:szCs w:val="24"/>
              </w:rPr>
              <w:t>3,4-Metilenodioxianfetamina (</w:t>
            </w:r>
            <w:r w:rsidRPr="00100BBE">
              <w:t>MDA</w:t>
            </w:r>
            <w:r w:rsidRPr="00100BBE">
              <w:rPr>
                <w:sz w:val="24"/>
                <w:szCs w:val="24"/>
              </w:rPr>
              <w:t>)</w:t>
            </w:r>
          </w:p>
        </w:tc>
        <w:tc>
          <w:tcPr>
            <w:tcW w:w="19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3A63D6A4"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25</w:t>
            </w:r>
          </w:p>
        </w:tc>
        <w:tc>
          <w:tcPr>
            <w:tcW w:w="2127" w:type="dxa"/>
            <w:tcBorders>
              <w:top w:val="single" w:sz="8" w:space="0" w:color="999999"/>
              <w:left w:val="single" w:sz="8" w:space="0" w:color="999999"/>
              <w:bottom w:val="single" w:sz="8" w:space="0" w:color="999999"/>
              <w:right w:val="single" w:sz="8" w:space="0" w:color="999999"/>
            </w:tcBorders>
            <w:shd w:val="clear" w:color="auto" w:fill="auto"/>
            <w:vAlign w:val="center"/>
          </w:tcPr>
          <w:p w14:paraId="232E35D6"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20</w:t>
            </w:r>
          </w:p>
        </w:tc>
      </w:tr>
      <w:tr w:rsidR="007B5141" w14:paraId="543D0F0F" w14:textId="77777777" w:rsidTr="00100BBE">
        <w:trPr>
          <w:trHeight w:val="113"/>
          <w:jc w:val="center"/>
        </w:trPr>
        <w:tc>
          <w:tcPr>
            <w:tcW w:w="54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673321B0" w14:textId="77777777" w:rsidR="007B5141" w:rsidRPr="00100BBE" w:rsidRDefault="00000000" w:rsidP="00100BBE">
            <w:pPr>
              <w:widowControl w:val="0"/>
              <w:spacing w:after="0" w:line="240" w:lineRule="exact"/>
              <w:ind w:right="0" w:firstLine="0"/>
              <w:jc w:val="left"/>
              <w:rPr>
                <w:sz w:val="24"/>
                <w:szCs w:val="24"/>
              </w:rPr>
            </w:pPr>
            <w:r w:rsidRPr="00100BBE">
              <w:rPr>
                <w:sz w:val="24"/>
                <w:szCs w:val="24"/>
              </w:rPr>
              <w:t>3,4-Metilenodioximetanfetamina (</w:t>
            </w:r>
            <w:r w:rsidRPr="00100BBE">
              <w:t>MDMA</w:t>
            </w:r>
            <w:r w:rsidRPr="00100BBE">
              <w:rPr>
                <w:sz w:val="24"/>
                <w:szCs w:val="24"/>
              </w:rPr>
              <w:t>)</w:t>
            </w:r>
          </w:p>
        </w:tc>
        <w:tc>
          <w:tcPr>
            <w:tcW w:w="19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2FA038E0"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25</w:t>
            </w:r>
          </w:p>
        </w:tc>
        <w:tc>
          <w:tcPr>
            <w:tcW w:w="2127" w:type="dxa"/>
            <w:tcBorders>
              <w:top w:val="single" w:sz="8" w:space="0" w:color="999999"/>
              <w:left w:val="single" w:sz="8" w:space="0" w:color="999999"/>
              <w:bottom w:val="single" w:sz="8" w:space="0" w:color="999999"/>
              <w:right w:val="single" w:sz="8" w:space="0" w:color="999999"/>
            </w:tcBorders>
            <w:shd w:val="clear" w:color="auto" w:fill="auto"/>
            <w:vAlign w:val="center"/>
          </w:tcPr>
          <w:p w14:paraId="30B2BE58"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20</w:t>
            </w:r>
          </w:p>
        </w:tc>
      </w:tr>
      <w:tr w:rsidR="007B5141" w14:paraId="7EA21600" w14:textId="77777777" w:rsidTr="00100BBE">
        <w:trPr>
          <w:trHeight w:val="113"/>
          <w:jc w:val="center"/>
        </w:trPr>
        <w:tc>
          <w:tcPr>
            <w:tcW w:w="54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45778B2A" w14:textId="77777777" w:rsidR="007B5141" w:rsidRPr="00100BBE" w:rsidRDefault="00000000" w:rsidP="00100BBE">
            <w:pPr>
              <w:widowControl w:val="0"/>
              <w:spacing w:after="0" w:line="240" w:lineRule="exact"/>
              <w:ind w:right="0" w:firstLine="0"/>
              <w:jc w:val="left"/>
              <w:rPr>
                <w:sz w:val="24"/>
                <w:szCs w:val="24"/>
              </w:rPr>
            </w:pPr>
            <w:r w:rsidRPr="00100BBE">
              <w:rPr>
                <w:sz w:val="24"/>
                <w:szCs w:val="24"/>
              </w:rPr>
              <w:t>Anfepramona</w:t>
            </w:r>
          </w:p>
        </w:tc>
        <w:tc>
          <w:tcPr>
            <w:tcW w:w="19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1622A67F"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25</w:t>
            </w:r>
          </w:p>
        </w:tc>
        <w:tc>
          <w:tcPr>
            <w:tcW w:w="2127" w:type="dxa"/>
            <w:tcBorders>
              <w:top w:val="single" w:sz="8" w:space="0" w:color="999999"/>
              <w:left w:val="single" w:sz="8" w:space="0" w:color="999999"/>
              <w:bottom w:val="single" w:sz="8" w:space="0" w:color="999999"/>
              <w:right w:val="single" w:sz="8" w:space="0" w:color="999999"/>
            </w:tcBorders>
            <w:shd w:val="clear" w:color="auto" w:fill="auto"/>
            <w:vAlign w:val="center"/>
          </w:tcPr>
          <w:p w14:paraId="4A5A209D"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20</w:t>
            </w:r>
          </w:p>
        </w:tc>
      </w:tr>
      <w:tr w:rsidR="007B5141" w14:paraId="0A1E63A2" w14:textId="77777777" w:rsidTr="00100BBE">
        <w:trPr>
          <w:trHeight w:val="113"/>
          <w:jc w:val="center"/>
        </w:trPr>
        <w:tc>
          <w:tcPr>
            <w:tcW w:w="54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2B32FE94" w14:textId="77777777" w:rsidR="007B5141" w:rsidRPr="00100BBE" w:rsidRDefault="00000000" w:rsidP="00100BBE">
            <w:pPr>
              <w:widowControl w:val="0"/>
              <w:spacing w:after="0" w:line="240" w:lineRule="exact"/>
              <w:ind w:right="0" w:firstLine="0"/>
              <w:jc w:val="left"/>
              <w:rPr>
                <w:sz w:val="24"/>
                <w:szCs w:val="24"/>
              </w:rPr>
            </w:pPr>
            <w:r w:rsidRPr="00100BBE">
              <w:rPr>
                <w:sz w:val="24"/>
                <w:szCs w:val="24"/>
              </w:rPr>
              <w:t>Femproporex</w:t>
            </w:r>
          </w:p>
        </w:tc>
        <w:tc>
          <w:tcPr>
            <w:tcW w:w="19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5E5D41EA"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25</w:t>
            </w:r>
          </w:p>
        </w:tc>
        <w:tc>
          <w:tcPr>
            <w:tcW w:w="2127" w:type="dxa"/>
            <w:tcBorders>
              <w:top w:val="single" w:sz="8" w:space="0" w:color="999999"/>
              <w:left w:val="single" w:sz="8" w:space="0" w:color="999999"/>
              <w:bottom w:val="single" w:sz="8" w:space="0" w:color="999999"/>
              <w:right w:val="single" w:sz="8" w:space="0" w:color="999999"/>
            </w:tcBorders>
            <w:shd w:val="clear" w:color="auto" w:fill="auto"/>
            <w:vAlign w:val="center"/>
          </w:tcPr>
          <w:p w14:paraId="3AB69928"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20</w:t>
            </w:r>
          </w:p>
        </w:tc>
      </w:tr>
      <w:tr w:rsidR="007B5141" w14:paraId="06DF744A" w14:textId="77777777" w:rsidTr="00100BBE">
        <w:trPr>
          <w:trHeight w:val="170"/>
          <w:jc w:val="center"/>
        </w:trPr>
        <w:tc>
          <w:tcPr>
            <w:tcW w:w="54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4AE0F7FF" w14:textId="77777777" w:rsidR="007B5141" w:rsidRPr="00100BBE" w:rsidRDefault="00000000" w:rsidP="00100BBE">
            <w:pPr>
              <w:widowControl w:val="0"/>
              <w:spacing w:after="0" w:line="240" w:lineRule="exact"/>
              <w:ind w:right="0" w:firstLine="0"/>
              <w:jc w:val="left"/>
              <w:rPr>
                <w:sz w:val="24"/>
                <w:szCs w:val="24"/>
              </w:rPr>
            </w:pPr>
            <w:r w:rsidRPr="00100BBE">
              <w:rPr>
                <w:sz w:val="24"/>
                <w:szCs w:val="24"/>
              </w:rPr>
              <w:t>Clobenzorex</w:t>
            </w:r>
          </w:p>
        </w:tc>
        <w:tc>
          <w:tcPr>
            <w:tcW w:w="1984" w:type="dxa"/>
            <w:tcBorders>
              <w:top w:val="single" w:sz="8" w:space="0" w:color="999999"/>
              <w:left w:val="single" w:sz="8" w:space="0" w:color="999999"/>
              <w:bottom w:val="single" w:sz="8" w:space="0" w:color="999999"/>
              <w:right w:val="single" w:sz="8" w:space="0" w:color="999999"/>
            </w:tcBorders>
            <w:shd w:val="clear" w:color="auto" w:fill="auto"/>
            <w:vAlign w:val="center"/>
          </w:tcPr>
          <w:p w14:paraId="3396C9AE"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25</w:t>
            </w:r>
          </w:p>
        </w:tc>
        <w:tc>
          <w:tcPr>
            <w:tcW w:w="2127" w:type="dxa"/>
            <w:tcBorders>
              <w:top w:val="single" w:sz="8" w:space="0" w:color="999999"/>
              <w:left w:val="single" w:sz="8" w:space="0" w:color="999999"/>
              <w:bottom w:val="single" w:sz="8" w:space="0" w:color="999999"/>
              <w:right w:val="single" w:sz="8" w:space="0" w:color="999999"/>
            </w:tcBorders>
            <w:shd w:val="clear" w:color="auto" w:fill="auto"/>
            <w:vAlign w:val="center"/>
          </w:tcPr>
          <w:p w14:paraId="3AC3DC19" w14:textId="77777777" w:rsidR="007B5141" w:rsidRPr="00100BBE" w:rsidRDefault="00000000" w:rsidP="00100BBE">
            <w:pPr>
              <w:widowControl w:val="0"/>
              <w:spacing w:after="0" w:line="240" w:lineRule="exact"/>
              <w:ind w:right="0" w:firstLine="0"/>
              <w:jc w:val="center"/>
              <w:rPr>
                <w:sz w:val="24"/>
                <w:szCs w:val="24"/>
              </w:rPr>
            </w:pPr>
            <w:r w:rsidRPr="00100BBE">
              <w:rPr>
                <w:sz w:val="24"/>
                <w:szCs w:val="24"/>
              </w:rPr>
              <w:t>20</w:t>
            </w:r>
          </w:p>
        </w:tc>
      </w:tr>
    </w:tbl>
    <w:p w14:paraId="457D001E" w14:textId="77777777" w:rsidR="007B5141" w:rsidRDefault="00000000">
      <w:pPr>
        <w:spacing w:after="28" w:line="240" w:lineRule="auto"/>
        <w:ind w:right="57" w:firstLine="0"/>
      </w:pPr>
      <w:r>
        <w:rPr>
          <w:sz w:val="18"/>
          <w:szCs w:val="18"/>
        </w:rPr>
        <w:t>* Valores considerando a concentração livre da substância no sangue;</w:t>
      </w:r>
    </w:p>
    <w:p w14:paraId="5BA14E42" w14:textId="2A2F7E01" w:rsidR="007B5141" w:rsidRDefault="00000000">
      <w:pPr>
        <w:rPr>
          <w:sz w:val="24"/>
          <w:szCs w:val="24"/>
        </w:rPr>
      </w:pPr>
      <w:r w:rsidRPr="00DF589F">
        <w:rPr>
          <w:sz w:val="24"/>
          <w:szCs w:val="24"/>
        </w:rPr>
        <w:lastRenderedPageBreak/>
        <w:t>A lista acima não inclui todas as substâncias psicoativas que podem ser relevantes em investigações de ocorrências de trânsito</w:t>
      </w:r>
      <w:r>
        <w:rPr>
          <w:sz w:val="24"/>
          <w:szCs w:val="24"/>
        </w:rPr>
        <w:t>, mas inclui aquelas com reconhecida capacidade de causar prejuízo à condução de veículos automotores, baseado em dados de prevalência nacional. A inclusão de outras substâncias pode ser considerada com base em fatores como tendências regionais em matéria de medicamentos, drogas de abuso e históricos de casos do local.</w:t>
      </w:r>
    </w:p>
    <w:p w14:paraId="56442100" w14:textId="77777777" w:rsidR="007B5141" w:rsidRDefault="007B5141">
      <w:pPr>
        <w:rPr>
          <w:sz w:val="24"/>
          <w:szCs w:val="24"/>
        </w:rPr>
      </w:pPr>
    </w:p>
    <w:p w14:paraId="0EB2F3D7" w14:textId="77777777" w:rsidR="007B5141" w:rsidRDefault="00000000">
      <w:pPr>
        <w:pStyle w:val="Ttulo1"/>
        <w:rPr>
          <w:b w:val="0"/>
          <w:color w:val="000000"/>
          <w:sz w:val="24"/>
          <w:szCs w:val="24"/>
        </w:rPr>
      </w:pPr>
      <w:bookmarkStart w:id="4" w:name="_heading=h.30j0zll"/>
      <w:bookmarkStart w:id="5" w:name="_Toc165645808"/>
      <w:bookmarkEnd w:id="4"/>
      <w:r>
        <w:rPr>
          <w:color w:val="000000"/>
          <w:sz w:val="24"/>
          <w:szCs w:val="24"/>
        </w:rPr>
        <w:t>3.</w:t>
      </w:r>
      <w:r>
        <w:rPr>
          <w:color w:val="000000"/>
          <w:sz w:val="24"/>
          <w:szCs w:val="24"/>
        </w:rPr>
        <w:tab/>
        <w:t>COLETA DE AMOSTRA E CADEIA DE CUSTÓDIA</w:t>
      </w:r>
      <w:bookmarkEnd w:id="5"/>
    </w:p>
    <w:p w14:paraId="024135BB" w14:textId="77777777" w:rsidR="007B5141" w:rsidRDefault="00000000">
      <w:pPr>
        <w:pStyle w:val="PargrafodaLista"/>
        <w:numPr>
          <w:ilvl w:val="1"/>
          <w:numId w:val="5"/>
        </w:numPr>
        <w:tabs>
          <w:tab w:val="left" w:pos="960"/>
        </w:tabs>
        <w:ind w:left="567" w:hanging="567"/>
        <w:outlineLvl w:val="1"/>
        <w:rPr>
          <w:b/>
          <w:color w:val="000000"/>
          <w:sz w:val="24"/>
          <w:szCs w:val="24"/>
        </w:rPr>
      </w:pPr>
      <w:bookmarkStart w:id="6" w:name="_heading=h.1fob9te"/>
      <w:bookmarkStart w:id="7" w:name="_Toc165645809"/>
      <w:bookmarkEnd w:id="6"/>
      <w:r>
        <w:rPr>
          <w:b/>
          <w:color w:val="000000"/>
          <w:sz w:val="24"/>
          <w:szCs w:val="24"/>
        </w:rPr>
        <w:t>Amostra biológica para o exame</w:t>
      </w:r>
      <w:bookmarkEnd w:id="7"/>
    </w:p>
    <w:p w14:paraId="1AB70A5F" w14:textId="77777777" w:rsidR="007B5141" w:rsidRDefault="00000000">
      <w:pPr>
        <w:rPr>
          <w:sz w:val="24"/>
          <w:szCs w:val="24"/>
        </w:rPr>
      </w:pPr>
      <w:r>
        <w:rPr>
          <w:sz w:val="24"/>
          <w:szCs w:val="24"/>
        </w:rPr>
        <w:t>A coleta de sangue é uma das fases mais importantes do exame toxicológico em caso de investigação de trânsito, uma vez que a qualidade da amostra é determinante para a confiabilidade do resultado.</w:t>
      </w:r>
    </w:p>
    <w:p w14:paraId="7B15A445" w14:textId="5E00822B" w:rsidR="007B5141" w:rsidRDefault="00000000">
      <w:pPr>
        <w:rPr>
          <w:sz w:val="24"/>
          <w:szCs w:val="24"/>
        </w:rPr>
      </w:pPr>
      <w:r>
        <w:rPr>
          <w:sz w:val="24"/>
          <w:szCs w:val="24"/>
        </w:rPr>
        <w:t xml:space="preserve">A coleta de sangue </w:t>
      </w:r>
      <w:r w:rsidR="00A618FA" w:rsidRPr="00A618FA">
        <w:rPr>
          <w:i/>
          <w:iCs/>
          <w:sz w:val="24"/>
          <w:szCs w:val="24"/>
        </w:rPr>
        <w:t>in vivo</w:t>
      </w:r>
      <w:r w:rsidR="00A618FA">
        <w:rPr>
          <w:sz w:val="24"/>
          <w:szCs w:val="24"/>
        </w:rPr>
        <w:t xml:space="preserve"> </w:t>
      </w:r>
      <w:r>
        <w:rPr>
          <w:sz w:val="24"/>
          <w:szCs w:val="24"/>
        </w:rPr>
        <w:t xml:space="preserve">deve ser realizada o mais brevemente possível e deverá ser realizada por punção venosa após garroteamento rápido do braço do paciente ou periciando. Deve-se realizar assepsia do local de coleta com material isento de etanol em sua constituição (p.e. antissépticos à base de iodo), utilizar materiais descartáveis de coleta e tubo de coleta de sangue de tampa cinza, contendo fluoreto de sódio </w:t>
      </w:r>
      <w:r w:rsidRPr="00DF589F">
        <w:rPr>
          <w:sz w:val="24"/>
          <w:szCs w:val="24"/>
        </w:rPr>
        <w:t>(NaF)</w:t>
      </w:r>
      <w:r>
        <w:rPr>
          <w:sz w:val="24"/>
          <w:szCs w:val="24"/>
        </w:rPr>
        <w:t xml:space="preserve"> em concentração mínima de 1% (m/v) (inibidor glicolítico) e EDTA (anticoagulante). Preferencialmente, o tubo de coleta deve ser de plástico para evitar a quebra durante o transporte e congelamento. Imediatamente após a coleta, deve-se agitar suavemente o tubo por inversão para homogeneizar a amostra. Outras instruções e detalhamento do procedimento de coleta devem estar descritas em procedimento operacional padrão de cada laboratório.</w:t>
      </w:r>
    </w:p>
    <w:p w14:paraId="3AD84AD6" w14:textId="7AE667C6" w:rsidR="00F44A76" w:rsidRDefault="00F44A76" w:rsidP="00F44A76">
      <w:pPr>
        <w:rPr>
          <w:sz w:val="24"/>
          <w:szCs w:val="24"/>
        </w:rPr>
      </w:pPr>
      <w:r>
        <w:rPr>
          <w:sz w:val="24"/>
          <w:szCs w:val="24"/>
        </w:rPr>
        <w:t xml:space="preserve">Para o exame toxicológico de investigação de trânsito em amostras de sangue </w:t>
      </w:r>
      <w:r>
        <w:rPr>
          <w:i/>
          <w:sz w:val="24"/>
          <w:szCs w:val="24"/>
        </w:rPr>
        <w:t>post mortem</w:t>
      </w:r>
      <w:r>
        <w:rPr>
          <w:sz w:val="24"/>
          <w:szCs w:val="24"/>
        </w:rPr>
        <w:t xml:space="preserve">, a coleta deve ser realizada </w:t>
      </w:r>
      <w:r w:rsidRPr="000729A2">
        <w:rPr>
          <w:sz w:val="24"/>
          <w:szCs w:val="24"/>
        </w:rPr>
        <w:t>de vasos calibrosos</w:t>
      </w:r>
      <w:r>
        <w:rPr>
          <w:sz w:val="24"/>
          <w:szCs w:val="24"/>
        </w:rPr>
        <w:t xml:space="preserve">, preferencialmente, pela punção da veia femoral ou alternativamente das veias subclávia ou jugular interna, estando as cavidades abdominal e torácica ainda fechadas. Sabe-se, porém, que esta coleta nem sempre é possível, pela ação das válvulas venosas que dificultam o refluxo de sangue ou pelo colabamento dos vasos e nos casos em que houve hemorragia intensa. Na impossibilidade desta, a coleta de sangue poderá ocorrer, preferencialmente, por punção interna da veia femoral no início da autópsia, logo após a abertura da cavidade abdominal. Apenas nos casos </w:t>
      </w:r>
      <w:r w:rsidR="000900EB">
        <w:rPr>
          <w:sz w:val="24"/>
          <w:szCs w:val="24"/>
        </w:rPr>
        <w:t>em que</w:t>
      </w:r>
      <w:r>
        <w:rPr>
          <w:sz w:val="24"/>
          <w:szCs w:val="24"/>
        </w:rPr>
        <w:t xml:space="preserve"> absolutamente não foi possível a coleta de veias calibrosas, a punção de sangue da cavidade cardíaca direita </w:t>
      </w:r>
      <w:r>
        <w:rPr>
          <w:sz w:val="24"/>
          <w:szCs w:val="24"/>
        </w:rPr>
        <w:lastRenderedPageBreak/>
        <w:t xml:space="preserve">intacta poderá ser realizada. Sempre deverá ser informado o local da coleta em formulário próprio. Deve-se utilizar uma seringa de 10 a 20 mL e agulha de grosso calibre, transferindo o material coletado para um tubo de coleta de sangue de tampa cinza, contendo fluoreto de sódio </w:t>
      </w:r>
      <w:r w:rsidRPr="00DF589F">
        <w:rPr>
          <w:sz w:val="24"/>
          <w:szCs w:val="24"/>
        </w:rPr>
        <w:t>(NaF)</w:t>
      </w:r>
      <w:r>
        <w:rPr>
          <w:sz w:val="24"/>
          <w:szCs w:val="24"/>
        </w:rPr>
        <w:t xml:space="preserve"> em concentração mínima de </w:t>
      </w:r>
      <w:r>
        <w:rPr>
          <w:sz w:val="24"/>
          <w:szCs w:val="24"/>
          <w:shd w:val="clear" w:color="auto" w:fill="F8F9FA"/>
        </w:rPr>
        <w:t>1% (</w:t>
      </w:r>
      <w:r>
        <w:rPr>
          <w:sz w:val="24"/>
          <w:szCs w:val="24"/>
        </w:rPr>
        <w:t>m/v) (inibidor glicolítico) e EDTA (anticoagulante), sendo o tubo de coleta preferencialmente de plástico. A transferência da amostra de sangue para o tubo deve ser feita perfurando o septo da tampa com a agulha, e o sangue fluindo para o tubo utilizando-se o vácuo do mesmo (deve-se evitar retirar a tampa para colocar a amostra no tubo</w:t>
      </w:r>
      <w:r w:rsidRPr="00DF589F">
        <w:rPr>
          <w:sz w:val="24"/>
          <w:szCs w:val="24"/>
        </w:rPr>
        <w:t>, de modo a evitar contaminação da amostra).</w:t>
      </w:r>
      <w:r>
        <w:rPr>
          <w:sz w:val="24"/>
          <w:szCs w:val="24"/>
        </w:rPr>
        <w:t xml:space="preserve"> </w:t>
      </w:r>
    </w:p>
    <w:p w14:paraId="084BE008" w14:textId="4AA519B6" w:rsidR="007B5141" w:rsidRDefault="00000000" w:rsidP="00F44A76">
      <w:pPr>
        <w:rPr>
          <w:sz w:val="24"/>
          <w:szCs w:val="24"/>
        </w:rPr>
      </w:pPr>
      <w:r>
        <w:rPr>
          <w:sz w:val="24"/>
          <w:szCs w:val="24"/>
        </w:rPr>
        <w:t xml:space="preserve">Para fins de exame toxicológico de investigação de </w:t>
      </w:r>
      <w:r w:rsidR="00F44A76">
        <w:rPr>
          <w:sz w:val="24"/>
          <w:szCs w:val="24"/>
        </w:rPr>
        <w:t xml:space="preserve">ocorrências de </w:t>
      </w:r>
      <w:r>
        <w:rPr>
          <w:sz w:val="24"/>
          <w:szCs w:val="24"/>
        </w:rPr>
        <w:t xml:space="preserve">trânsito, a coleta de material de derrames cavitários acumulados na cavidade torácica não deve ser realizada, devido </w:t>
      </w:r>
      <w:r w:rsidRPr="00DF589F">
        <w:rPr>
          <w:sz w:val="24"/>
          <w:szCs w:val="24"/>
        </w:rPr>
        <w:t>à p</w:t>
      </w:r>
      <w:r>
        <w:rPr>
          <w:sz w:val="24"/>
          <w:szCs w:val="24"/>
        </w:rPr>
        <w:t xml:space="preserve">ossibilidade de contaminação com outros fluidos orgânicos, especialmente o conteúdo estomacal. Outras instruções e detalhamento do procedimento de coleta devem estar descritas em procedimento operacional padrão de cada laboratório, com instruções detalhadas sobre a coleta de amostras de sangue </w:t>
      </w:r>
      <w:r>
        <w:rPr>
          <w:i/>
          <w:sz w:val="24"/>
          <w:szCs w:val="24"/>
        </w:rPr>
        <w:t xml:space="preserve">post mortem </w:t>
      </w:r>
      <w:r>
        <w:rPr>
          <w:sz w:val="24"/>
          <w:szCs w:val="24"/>
        </w:rPr>
        <w:t>para essa finalidade.</w:t>
      </w:r>
    </w:p>
    <w:p w14:paraId="61DE5B36" w14:textId="77777777" w:rsidR="007B5141" w:rsidRDefault="007B5141">
      <w:pPr>
        <w:rPr>
          <w:sz w:val="24"/>
          <w:szCs w:val="24"/>
        </w:rPr>
      </w:pPr>
    </w:p>
    <w:p w14:paraId="2A5E0B53" w14:textId="77777777" w:rsidR="007B5141" w:rsidRDefault="00000000">
      <w:pPr>
        <w:pStyle w:val="PargrafodaLista"/>
        <w:numPr>
          <w:ilvl w:val="1"/>
          <w:numId w:val="5"/>
        </w:numPr>
        <w:tabs>
          <w:tab w:val="left" w:pos="960"/>
        </w:tabs>
        <w:ind w:left="567" w:hanging="567"/>
        <w:outlineLvl w:val="1"/>
        <w:rPr>
          <w:b/>
          <w:color w:val="000000"/>
          <w:sz w:val="24"/>
          <w:szCs w:val="24"/>
        </w:rPr>
      </w:pPr>
      <w:bookmarkStart w:id="8" w:name="_heading=h.tyjcwt"/>
      <w:bookmarkStart w:id="9" w:name="_Toc165645810"/>
      <w:bookmarkEnd w:id="8"/>
      <w:r>
        <w:rPr>
          <w:b/>
          <w:color w:val="000000"/>
          <w:sz w:val="24"/>
          <w:szCs w:val="24"/>
        </w:rPr>
        <w:t>Cadeia de custódia e documentação</w:t>
      </w:r>
      <w:bookmarkEnd w:id="9"/>
    </w:p>
    <w:p w14:paraId="74E5276C" w14:textId="77777777" w:rsidR="007B5141" w:rsidRDefault="00000000">
      <w:pPr>
        <w:rPr>
          <w:sz w:val="24"/>
          <w:szCs w:val="24"/>
        </w:rPr>
      </w:pPr>
      <w:r>
        <w:rPr>
          <w:sz w:val="24"/>
          <w:szCs w:val="24"/>
        </w:rPr>
        <w:t>Cadeia de custódia é o termo usado para o processo de documentação, manuseio e armazenamento de amostra, desde o momento da coleta até a destinação final (destruição) da amostra.</w:t>
      </w:r>
    </w:p>
    <w:p w14:paraId="162643E3" w14:textId="77777777" w:rsidR="007B5141" w:rsidRDefault="00000000">
      <w:pPr>
        <w:rPr>
          <w:sz w:val="24"/>
          <w:szCs w:val="24"/>
        </w:rPr>
      </w:pPr>
      <w:r w:rsidRPr="00DF589F">
        <w:rPr>
          <w:sz w:val="24"/>
          <w:szCs w:val="24"/>
        </w:rPr>
        <w:t>O laboratório que realiza o exame toxicológico de investigação de ocorrências de trânsito</w:t>
      </w:r>
      <w:r w:rsidRPr="00DF589F">
        <w:rPr>
          <w:sz w:val="24"/>
          <w:szCs w:val="24"/>
          <w:shd w:val="clear" w:color="auto" w:fill="F8F9FA"/>
        </w:rPr>
        <w:t xml:space="preserve"> </w:t>
      </w:r>
      <w:r w:rsidRPr="00DF589F">
        <w:rPr>
          <w:sz w:val="24"/>
          <w:szCs w:val="24"/>
        </w:rPr>
        <w:t>em sangue deve possuir</w:t>
      </w:r>
      <w:r>
        <w:rPr>
          <w:sz w:val="24"/>
          <w:szCs w:val="24"/>
        </w:rPr>
        <w:t xml:space="preserve"> critérios rígidos de cadeia de custódia, documentando de forma adequada toda manipulação da amostra a partir de seu recebimento. Todo o manuseio feito com a amostra, desde seu recebimento até o seu descarte, deve ser registrado em formulário de cadeia de custódia. Alternativamente, o formulário de cadeia de custódia pode ser combinado com o documento de requisição de exame, ou em sistema informatizado para esse fim. Nos exames realizados em indivíduos vivos, esses documentos de custódia devem conter, pelo menos, as informações abaixo:</w:t>
      </w:r>
    </w:p>
    <w:p w14:paraId="5507136F" w14:textId="77777777" w:rsidR="007B5141" w:rsidRDefault="00000000">
      <w:pPr>
        <w:numPr>
          <w:ilvl w:val="0"/>
          <w:numId w:val="4"/>
        </w:numPr>
        <w:spacing w:after="0"/>
        <w:rPr>
          <w:color w:val="000000"/>
          <w:sz w:val="24"/>
          <w:szCs w:val="24"/>
        </w:rPr>
      </w:pPr>
      <w:r>
        <w:rPr>
          <w:color w:val="000000"/>
          <w:sz w:val="24"/>
          <w:szCs w:val="24"/>
        </w:rPr>
        <w:t>Identificação exclusiva vinculando o formulário de cadeia de custódia ao(s) tubo(s) de amostra(s) coletada(s</w:t>
      </w:r>
      <w:r>
        <w:rPr>
          <w:sz w:val="24"/>
          <w:szCs w:val="24"/>
        </w:rPr>
        <w:t>)</w:t>
      </w:r>
      <w:r>
        <w:rPr>
          <w:color w:val="000000"/>
          <w:sz w:val="24"/>
          <w:szCs w:val="24"/>
        </w:rPr>
        <w:t xml:space="preserve"> (por exemplo uma etiqueta de código de barras ou número de código atribuído à amostra).</w:t>
      </w:r>
    </w:p>
    <w:p w14:paraId="0B817D77" w14:textId="77777777" w:rsidR="007B5141" w:rsidRDefault="00000000">
      <w:pPr>
        <w:numPr>
          <w:ilvl w:val="0"/>
          <w:numId w:val="4"/>
        </w:numPr>
        <w:spacing w:after="0"/>
        <w:rPr>
          <w:color w:val="000000"/>
          <w:sz w:val="24"/>
          <w:szCs w:val="24"/>
        </w:rPr>
      </w:pPr>
      <w:r>
        <w:rPr>
          <w:color w:val="000000"/>
          <w:sz w:val="24"/>
          <w:szCs w:val="24"/>
        </w:rPr>
        <w:lastRenderedPageBreak/>
        <w:t>Informações que identifi</w:t>
      </w:r>
      <w:r>
        <w:rPr>
          <w:sz w:val="24"/>
          <w:szCs w:val="24"/>
        </w:rPr>
        <w:t>que</w:t>
      </w:r>
      <w:r>
        <w:rPr>
          <w:color w:val="000000"/>
          <w:sz w:val="24"/>
          <w:szCs w:val="24"/>
        </w:rPr>
        <w:t>m exclusivamente o periciando/paciente (nome completo, CPF, RG, número do boletim de ocorrência quando disponível).</w:t>
      </w:r>
    </w:p>
    <w:p w14:paraId="01B7068A" w14:textId="77777777" w:rsidR="007B5141" w:rsidRDefault="00000000">
      <w:pPr>
        <w:numPr>
          <w:ilvl w:val="0"/>
          <w:numId w:val="4"/>
        </w:numPr>
        <w:spacing w:after="0"/>
        <w:rPr>
          <w:color w:val="000000"/>
          <w:sz w:val="24"/>
          <w:szCs w:val="24"/>
        </w:rPr>
      </w:pPr>
      <w:r>
        <w:rPr>
          <w:color w:val="000000"/>
          <w:sz w:val="24"/>
          <w:szCs w:val="24"/>
        </w:rPr>
        <w:t>Nome do responsável pela coleta.</w:t>
      </w:r>
    </w:p>
    <w:p w14:paraId="65829A79" w14:textId="77777777" w:rsidR="007B5141" w:rsidRDefault="00000000">
      <w:pPr>
        <w:numPr>
          <w:ilvl w:val="0"/>
          <w:numId w:val="4"/>
        </w:numPr>
        <w:rPr>
          <w:color w:val="000000"/>
          <w:sz w:val="24"/>
          <w:szCs w:val="24"/>
        </w:rPr>
      </w:pPr>
      <w:r>
        <w:rPr>
          <w:color w:val="000000"/>
          <w:sz w:val="24"/>
          <w:szCs w:val="24"/>
        </w:rPr>
        <w:t>Data, hora e local da coleta.</w:t>
      </w:r>
    </w:p>
    <w:p w14:paraId="5E6CF298" w14:textId="59D68FE8" w:rsidR="007B5141" w:rsidRPr="00DF589F" w:rsidRDefault="00000000">
      <w:pPr>
        <w:rPr>
          <w:sz w:val="24"/>
          <w:szCs w:val="24"/>
        </w:rPr>
      </w:pPr>
      <w:r w:rsidRPr="00DF589F">
        <w:rPr>
          <w:sz w:val="24"/>
          <w:szCs w:val="24"/>
        </w:rPr>
        <w:t>Nos exames toxicológicos em sangue para investigação de ocorrências de trânsito</w:t>
      </w:r>
      <w:r w:rsidRPr="00DF589F">
        <w:rPr>
          <w:sz w:val="24"/>
          <w:szCs w:val="24"/>
          <w:shd w:val="clear" w:color="auto" w:fill="F8F9FA"/>
        </w:rPr>
        <w:t xml:space="preserve"> </w:t>
      </w:r>
      <w:r w:rsidRPr="00DF589F">
        <w:rPr>
          <w:sz w:val="24"/>
          <w:szCs w:val="24"/>
        </w:rPr>
        <w:t xml:space="preserve">realizados em material biológico </w:t>
      </w:r>
      <w:r w:rsidRPr="00DF589F">
        <w:rPr>
          <w:i/>
          <w:sz w:val="24"/>
          <w:szCs w:val="24"/>
        </w:rPr>
        <w:t>post mortem</w:t>
      </w:r>
      <w:r w:rsidRPr="00DF589F">
        <w:rPr>
          <w:sz w:val="24"/>
          <w:szCs w:val="24"/>
        </w:rPr>
        <w:t>, o Perito</w:t>
      </w:r>
      <w:r w:rsidR="00DF589F" w:rsidRPr="00DF589F">
        <w:rPr>
          <w:sz w:val="24"/>
          <w:szCs w:val="24"/>
        </w:rPr>
        <w:t>/</w:t>
      </w:r>
      <w:r w:rsidRPr="00DF589F">
        <w:rPr>
          <w:sz w:val="24"/>
          <w:szCs w:val="24"/>
        </w:rPr>
        <w:t>Médico Legista é o profissional responsável pela coleta de amostras. Nesse caso, o documento de custódia deve conter, pelo menos, as informações abaixo:</w:t>
      </w:r>
    </w:p>
    <w:p w14:paraId="14A38B83" w14:textId="77777777" w:rsidR="007B5141" w:rsidRDefault="00000000">
      <w:pPr>
        <w:numPr>
          <w:ilvl w:val="0"/>
          <w:numId w:val="1"/>
        </w:numPr>
        <w:spacing w:after="0"/>
        <w:rPr>
          <w:color w:val="000000"/>
          <w:sz w:val="24"/>
          <w:szCs w:val="24"/>
        </w:rPr>
      </w:pPr>
      <w:r>
        <w:rPr>
          <w:color w:val="000000"/>
          <w:sz w:val="24"/>
          <w:szCs w:val="24"/>
        </w:rPr>
        <w:t xml:space="preserve">Identificação exclusiva </w:t>
      </w:r>
      <w:r>
        <w:rPr>
          <w:sz w:val="24"/>
          <w:szCs w:val="24"/>
        </w:rPr>
        <w:t xml:space="preserve">vinculando </w:t>
      </w:r>
      <w:r>
        <w:rPr>
          <w:color w:val="000000"/>
          <w:sz w:val="24"/>
          <w:szCs w:val="24"/>
        </w:rPr>
        <w:t>o formulário de custódia (ou requisição de exame) ao(s) tubo</w:t>
      </w:r>
      <w:r>
        <w:rPr>
          <w:sz w:val="24"/>
          <w:szCs w:val="24"/>
        </w:rPr>
        <w:t xml:space="preserve">(s) </w:t>
      </w:r>
      <w:r>
        <w:rPr>
          <w:color w:val="000000"/>
          <w:sz w:val="24"/>
          <w:szCs w:val="24"/>
        </w:rPr>
        <w:t>de amostra(s) (por exemplo uma etiqueta de código de barras ou número de código atribuído à amostra).</w:t>
      </w:r>
    </w:p>
    <w:p w14:paraId="612BCF58" w14:textId="77777777" w:rsidR="007B5141" w:rsidRDefault="00000000">
      <w:pPr>
        <w:numPr>
          <w:ilvl w:val="0"/>
          <w:numId w:val="1"/>
        </w:numPr>
        <w:spacing w:after="0"/>
        <w:rPr>
          <w:color w:val="000000"/>
          <w:sz w:val="24"/>
          <w:szCs w:val="24"/>
        </w:rPr>
      </w:pPr>
      <w:r>
        <w:rPr>
          <w:color w:val="000000"/>
          <w:sz w:val="24"/>
          <w:szCs w:val="24"/>
        </w:rPr>
        <w:t>Identificação do cadáver por nome e/ou documentos de identificação (caso disponível no momento da coleta), ou boletim de ocorrência relacionado à investigação.</w:t>
      </w:r>
    </w:p>
    <w:p w14:paraId="68BE49FE" w14:textId="77777777" w:rsidR="007B5141" w:rsidRDefault="00000000">
      <w:pPr>
        <w:numPr>
          <w:ilvl w:val="0"/>
          <w:numId w:val="1"/>
        </w:numPr>
        <w:spacing w:after="0"/>
        <w:rPr>
          <w:color w:val="000000"/>
          <w:sz w:val="24"/>
          <w:szCs w:val="24"/>
        </w:rPr>
      </w:pPr>
      <w:r>
        <w:rPr>
          <w:color w:val="000000"/>
          <w:sz w:val="24"/>
          <w:szCs w:val="24"/>
        </w:rPr>
        <w:t>Informações relacionadas ao cadáver (idade, sexo, profissão), à investigação (tipo de ocorrência), ao histórico (local, data e horário aproximado do óbito</w:t>
      </w:r>
      <w:r>
        <w:rPr>
          <w:sz w:val="24"/>
          <w:szCs w:val="24"/>
        </w:rPr>
        <w:t xml:space="preserve"> e</w:t>
      </w:r>
      <w:r>
        <w:rPr>
          <w:color w:val="000000"/>
          <w:sz w:val="24"/>
          <w:szCs w:val="24"/>
        </w:rPr>
        <w:t xml:space="preserve"> se houve atendimento médico antes do óbito, uso de medicamentos, etc).</w:t>
      </w:r>
    </w:p>
    <w:p w14:paraId="67298C1C" w14:textId="77777777" w:rsidR="007B5141" w:rsidRDefault="00000000">
      <w:pPr>
        <w:numPr>
          <w:ilvl w:val="0"/>
          <w:numId w:val="1"/>
        </w:numPr>
        <w:spacing w:after="0"/>
        <w:rPr>
          <w:color w:val="000000"/>
          <w:sz w:val="24"/>
          <w:szCs w:val="24"/>
        </w:rPr>
      </w:pPr>
      <w:r>
        <w:rPr>
          <w:color w:val="000000"/>
          <w:sz w:val="24"/>
          <w:szCs w:val="24"/>
        </w:rPr>
        <w:t>Local da coleta da amostra (sítio anatômico).</w:t>
      </w:r>
    </w:p>
    <w:p w14:paraId="3FF0EB29" w14:textId="77777777" w:rsidR="007B5141" w:rsidRDefault="00000000">
      <w:pPr>
        <w:numPr>
          <w:ilvl w:val="0"/>
          <w:numId w:val="1"/>
        </w:numPr>
        <w:spacing w:after="0"/>
        <w:rPr>
          <w:color w:val="000000"/>
          <w:sz w:val="24"/>
          <w:szCs w:val="24"/>
        </w:rPr>
      </w:pPr>
      <w:r>
        <w:rPr>
          <w:color w:val="000000"/>
          <w:sz w:val="24"/>
          <w:szCs w:val="24"/>
        </w:rPr>
        <w:t>Nome do responsável pela coleta.</w:t>
      </w:r>
    </w:p>
    <w:p w14:paraId="187A4755" w14:textId="77777777" w:rsidR="007B5141" w:rsidRDefault="00000000">
      <w:pPr>
        <w:numPr>
          <w:ilvl w:val="0"/>
          <w:numId w:val="1"/>
        </w:numPr>
        <w:rPr>
          <w:color w:val="000000"/>
          <w:sz w:val="24"/>
          <w:szCs w:val="24"/>
        </w:rPr>
      </w:pPr>
      <w:r>
        <w:rPr>
          <w:color w:val="000000"/>
          <w:sz w:val="24"/>
          <w:szCs w:val="24"/>
        </w:rPr>
        <w:t>Data, hora e local da coleta.</w:t>
      </w:r>
    </w:p>
    <w:p w14:paraId="260F4DA4" w14:textId="43013CB1" w:rsidR="007B5141" w:rsidRDefault="00000000">
      <w:pPr>
        <w:rPr>
          <w:sz w:val="24"/>
          <w:szCs w:val="24"/>
        </w:rPr>
      </w:pPr>
      <w:r>
        <w:rPr>
          <w:sz w:val="24"/>
          <w:szCs w:val="24"/>
        </w:rPr>
        <w:t xml:space="preserve">Todas as etapas relacionadas ao preparo de amostra, análise, cálculos, interpretação dos resultados e registros documentais são de responsabilidade do analista/perito </w:t>
      </w:r>
      <w:r w:rsidR="000900EB">
        <w:rPr>
          <w:sz w:val="24"/>
          <w:szCs w:val="24"/>
        </w:rPr>
        <w:t>designado</w:t>
      </w:r>
      <w:r>
        <w:rPr>
          <w:sz w:val="24"/>
          <w:szCs w:val="24"/>
        </w:rPr>
        <w:t xml:space="preserve"> p</w:t>
      </w:r>
      <w:r w:rsidR="000900EB">
        <w:rPr>
          <w:sz w:val="24"/>
          <w:szCs w:val="24"/>
        </w:rPr>
        <w:t>ara</w:t>
      </w:r>
      <w:r>
        <w:rPr>
          <w:sz w:val="24"/>
          <w:szCs w:val="24"/>
        </w:rPr>
        <w:t xml:space="preserve"> emissão do resultado. </w:t>
      </w:r>
    </w:p>
    <w:p w14:paraId="3422442D" w14:textId="77777777" w:rsidR="007B5141" w:rsidRDefault="007B5141">
      <w:pPr>
        <w:rPr>
          <w:sz w:val="24"/>
          <w:szCs w:val="24"/>
        </w:rPr>
      </w:pPr>
    </w:p>
    <w:p w14:paraId="219E43A6" w14:textId="77777777" w:rsidR="007B5141" w:rsidRDefault="00000000">
      <w:pPr>
        <w:pStyle w:val="Ttulo2"/>
        <w:rPr>
          <w:b w:val="0"/>
          <w:color w:val="000000"/>
          <w:sz w:val="24"/>
          <w:szCs w:val="24"/>
        </w:rPr>
      </w:pPr>
      <w:bookmarkStart w:id="10" w:name="_heading=h.3dy6vkm"/>
      <w:bookmarkStart w:id="11" w:name="_Toc165645811"/>
      <w:bookmarkEnd w:id="10"/>
      <w:r>
        <w:rPr>
          <w:color w:val="000000"/>
          <w:sz w:val="24"/>
          <w:szCs w:val="24"/>
        </w:rPr>
        <w:t>3.3</w:t>
      </w:r>
      <w:r>
        <w:rPr>
          <w:color w:val="000000"/>
          <w:sz w:val="24"/>
          <w:szCs w:val="24"/>
        </w:rPr>
        <w:tab/>
        <w:t>Transporte e armazenamento de amostras</w:t>
      </w:r>
      <w:bookmarkEnd w:id="11"/>
    </w:p>
    <w:p w14:paraId="4F95EDDA" w14:textId="60E32DD8" w:rsidR="007B5141" w:rsidRDefault="00000000">
      <w:pPr>
        <w:rPr>
          <w:sz w:val="24"/>
          <w:szCs w:val="24"/>
        </w:rPr>
      </w:pPr>
      <w:r>
        <w:rPr>
          <w:sz w:val="24"/>
          <w:szCs w:val="24"/>
        </w:rPr>
        <w:t xml:space="preserve">Após a coleta, deve-se ter o registro nominal (nome, ação realizada e data) de todos os indivíduos que manusearam a(s) amostra(s) (transporte, armazenamento). As amostras devem ser transportadas em caixa térmica adequada, de uso exclusivo para transporte de amostras biológicas, com termômetro para registro de temperatura (atual, máxima e mínima) e uso de gelo seco ou reciclável, garantindo que as amostras permaneçam refrigeradas (≤ 8 </w:t>
      </w:r>
      <w:r>
        <w:rPr>
          <w:sz w:val="24"/>
          <w:szCs w:val="24"/>
          <w:vertAlign w:val="superscript"/>
        </w:rPr>
        <w:t>o</w:t>
      </w:r>
      <w:r>
        <w:rPr>
          <w:sz w:val="24"/>
          <w:szCs w:val="24"/>
        </w:rPr>
        <w:t>C) durante a etapa de transporte</w:t>
      </w:r>
      <w:r w:rsidR="00A618FA">
        <w:rPr>
          <w:sz w:val="24"/>
          <w:szCs w:val="24"/>
        </w:rPr>
        <w:t>, o qual deve ser em menor tempo possível.</w:t>
      </w:r>
    </w:p>
    <w:p w14:paraId="45D2A707" w14:textId="77777777" w:rsidR="007B5141" w:rsidRPr="00B53D74" w:rsidRDefault="00000000">
      <w:pPr>
        <w:rPr>
          <w:sz w:val="24"/>
          <w:szCs w:val="24"/>
        </w:rPr>
      </w:pPr>
      <w:r w:rsidRPr="00B53D74">
        <w:rPr>
          <w:sz w:val="24"/>
          <w:szCs w:val="24"/>
        </w:rPr>
        <w:lastRenderedPageBreak/>
        <w:t>O laboratório deve prover condições adequadas de armazenamento das amostras de modo a preservá-las e protegê-las, evitando sua degradação e perda dos analitos, em local isento de substâncias químicas, protegido de fontes de luz ultravioleta e da umidade.</w:t>
      </w:r>
    </w:p>
    <w:p w14:paraId="3D5E816C" w14:textId="77777777" w:rsidR="007B5141" w:rsidRPr="00B53D74" w:rsidRDefault="00000000">
      <w:pPr>
        <w:rPr>
          <w:sz w:val="24"/>
          <w:szCs w:val="24"/>
        </w:rPr>
      </w:pPr>
      <w:r w:rsidRPr="00B53D74">
        <w:rPr>
          <w:sz w:val="24"/>
          <w:szCs w:val="24"/>
        </w:rPr>
        <w:t xml:space="preserve">As amostras destinadas ao exame toxicológico de investigação de ocorrências de trânsito em sangue devem ser armazenadas sob congelamento (≤ -20 </w:t>
      </w:r>
      <w:r w:rsidRPr="00B53D74">
        <w:rPr>
          <w:sz w:val="24"/>
          <w:szCs w:val="24"/>
          <w:vertAlign w:val="superscript"/>
        </w:rPr>
        <w:t>o</w:t>
      </w:r>
      <w:r w:rsidRPr="00B53D74">
        <w:rPr>
          <w:sz w:val="24"/>
          <w:szCs w:val="24"/>
        </w:rPr>
        <w:t>C) até o momento da análise, tanto no local da coleta quanto no laboratório. Para armazenamento após a análise, instruções e detalhamento do procedimento devem estar descritos em procedimento operacional padrão do laboratório.</w:t>
      </w:r>
    </w:p>
    <w:p w14:paraId="6D97E9D1" w14:textId="77777777" w:rsidR="007B5141" w:rsidRDefault="00000000">
      <w:pPr>
        <w:rPr>
          <w:sz w:val="24"/>
          <w:szCs w:val="24"/>
        </w:rPr>
      </w:pPr>
      <w:r>
        <w:rPr>
          <w:sz w:val="24"/>
          <w:szCs w:val="24"/>
        </w:rPr>
        <w:t xml:space="preserve">Freezers destinados ao armazenamento de amostras devem possuir controle de temperatura, com registro diário de valores de temperatura máxima e mínima. </w:t>
      </w:r>
      <w:r w:rsidRPr="00B53D74">
        <w:rPr>
          <w:sz w:val="24"/>
          <w:szCs w:val="24"/>
        </w:rPr>
        <w:t>Para preservar a integridade das amostras destinadas ao exame toxicológico em sangue de investigação de ocorrências de trânsito</w:t>
      </w:r>
      <w:r w:rsidRPr="00B53D74">
        <w:rPr>
          <w:sz w:val="24"/>
          <w:szCs w:val="24"/>
          <w:shd w:val="clear" w:color="auto" w:fill="F8F9FA"/>
        </w:rPr>
        <w:t xml:space="preserve"> </w:t>
      </w:r>
      <w:r w:rsidRPr="00B53D74">
        <w:rPr>
          <w:sz w:val="24"/>
          <w:szCs w:val="24"/>
        </w:rPr>
        <w:t>em situações excepcionais, é recomendável que os freezers possuam sistema de proteção contra falha no fornecimento de energia (</w:t>
      </w:r>
      <w:r w:rsidRPr="00B53D74">
        <w:rPr>
          <w:i/>
          <w:sz w:val="24"/>
          <w:szCs w:val="24"/>
        </w:rPr>
        <w:t>nobreaks</w:t>
      </w:r>
      <w:r>
        <w:rPr>
          <w:sz w:val="24"/>
          <w:szCs w:val="24"/>
        </w:rPr>
        <w:t xml:space="preserve"> ou geradores de energia elétrica). Freezers destinados ao armazenamento de amostras devem, ainda, ser exclusivos para essa finalidade, sendo vedado o armazenamento concomitante de reagentes, padrões, controles e outros.</w:t>
      </w:r>
    </w:p>
    <w:p w14:paraId="77F1F21B" w14:textId="77777777" w:rsidR="007B5141" w:rsidRDefault="00000000">
      <w:pPr>
        <w:rPr>
          <w:sz w:val="24"/>
          <w:szCs w:val="24"/>
        </w:rPr>
      </w:pPr>
      <w:r>
        <w:rPr>
          <w:sz w:val="24"/>
          <w:szCs w:val="24"/>
        </w:rPr>
        <w:t>É recomendável que os freezers destinados ao armazenamento de amostras possuam dispositivo que permita o controle de acesso. Alternativamente, a sala onde se encontram os freezers deve ter acesso controlado, de modo a registrar quem acessou as amostras (ou onde estão armazenadas) e quando foi realizado o acesso.</w:t>
      </w:r>
    </w:p>
    <w:p w14:paraId="17E1E754" w14:textId="77777777" w:rsidR="007B5141" w:rsidRDefault="007B5141">
      <w:pPr>
        <w:rPr>
          <w:sz w:val="24"/>
          <w:szCs w:val="24"/>
        </w:rPr>
      </w:pPr>
    </w:p>
    <w:p w14:paraId="50743C2F" w14:textId="77777777" w:rsidR="007B5141" w:rsidRDefault="00000000">
      <w:pPr>
        <w:pStyle w:val="Ttulo1"/>
        <w:rPr>
          <w:b w:val="0"/>
          <w:color w:val="000000"/>
          <w:sz w:val="24"/>
          <w:szCs w:val="24"/>
        </w:rPr>
      </w:pPr>
      <w:bookmarkStart w:id="12" w:name="_heading=h.1t3h5sf"/>
      <w:bookmarkStart w:id="13" w:name="_Toc165645812"/>
      <w:bookmarkEnd w:id="12"/>
      <w:r>
        <w:rPr>
          <w:color w:val="000000"/>
          <w:sz w:val="24"/>
          <w:szCs w:val="24"/>
        </w:rPr>
        <w:t>4.</w:t>
      </w:r>
      <w:r>
        <w:rPr>
          <w:b w:val="0"/>
          <w:color w:val="000000"/>
          <w:sz w:val="24"/>
          <w:szCs w:val="24"/>
        </w:rPr>
        <w:tab/>
      </w:r>
      <w:r>
        <w:rPr>
          <w:color w:val="000000"/>
          <w:sz w:val="24"/>
          <w:szCs w:val="24"/>
        </w:rPr>
        <w:t>LABORATÓRIO DE ANÁLISES E PROCEDIMENTOS</w:t>
      </w:r>
      <w:bookmarkEnd w:id="13"/>
    </w:p>
    <w:p w14:paraId="1635B988" w14:textId="77777777" w:rsidR="007B5141" w:rsidRDefault="00000000">
      <w:pPr>
        <w:pStyle w:val="PargrafodaLista"/>
        <w:numPr>
          <w:ilvl w:val="1"/>
          <w:numId w:val="6"/>
        </w:numPr>
        <w:tabs>
          <w:tab w:val="left" w:pos="960"/>
        </w:tabs>
        <w:ind w:left="567" w:hanging="567"/>
        <w:outlineLvl w:val="1"/>
        <w:rPr>
          <w:b/>
          <w:color w:val="000000"/>
          <w:sz w:val="24"/>
          <w:szCs w:val="24"/>
        </w:rPr>
      </w:pPr>
      <w:bookmarkStart w:id="14" w:name="_heading=h.4d34og8"/>
      <w:bookmarkStart w:id="15" w:name="_Toc165645813"/>
      <w:bookmarkEnd w:id="14"/>
      <w:r>
        <w:rPr>
          <w:b/>
          <w:sz w:val="24"/>
          <w:szCs w:val="24"/>
        </w:rPr>
        <w:t>Boas práticas de laboratório</w:t>
      </w:r>
      <w:bookmarkEnd w:id="15"/>
    </w:p>
    <w:p w14:paraId="261B63CF" w14:textId="77777777" w:rsidR="007B5141" w:rsidRDefault="00000000">
      <w:pPr>
        <w:rPr>
          <w:sz w:val="24"/>
          <w:szCs w:val="24"/>
        </w:rPr>
      </w:pPr>
      <w:r>
        <w:rPr>
          <w:sz w:val="24"/>
          <w:szCs w:val="24"/>
        </w:rPr>
        <w:t>O laboratório deve controlar o acesso onde são manuseadas e localizadas as amostras, equipamentos e seus registros. Os visitantes autorizados somente poderão adentrar em determinados locais acompanhados por equipe do laboratório. O laboratório deverá manter o registro documentado da identificação dos visitantes, quem os acompanhou, a data e o horário de entrada e de saída, bem como o objetivo do acesso dos visitantes às áreas restritas.</w:t>
      </w:r>
    </w:p>
    <w:p w14:paraId="03D0C808" w14:textId="77777777" w:rsidR="007B5141" w:rsidRPr="00B53D74" w:rsidRDefault="00000000">
      <w:pPr>
        <w:rPr>
          <w:sz w:val="24"/>
          <w:szCs w:val="24"/>
        </w:rPr>
      </w:pPr>
      <w:r w:rsidRPr="00B53D74">
        <w:rPr>
          <w:sz w:val="24"/>
          <w:szCs w:val="24"/>
        </w:rPr>
        <w:lastRenderedPageBreak/>
        <w:t>O laboratório que realiza exame toxicológico em investigação de ocorrências de trânsito</w:t>
      </w:r>
      <w:r w:rsidRPr="00B53D74">
        <w:rPr>
          <w:sz w:val="24"/>
          <w:szCs w:val="24"/>
          <w:shd w:val="clear" w:color="auto" w:fill="F8F9FA"/>
        </w:rPr>
        <w:t xml:space="preserve"> </w:t>
      </w:r>
      <w:r w:rsidRPr="00B53D74">
        <w:rPr>
          <w:sz w:val="24"/>
          <w:szCs w:val="24"/>
        </w:rPr>
        <w:t>em sangue deve possuir, no mínimo, controle de qualidade interno implementado, de modo a garantir a confiabilidade dos resultados gerados. Padrões de qualidade estabelecidos pela ISO/IEC 17025 ou acreditação por organismo regulador reconhecido, como por exemplo o Instituto Nacional de Metrologia, Qualidade e Tecnologia (INMETRO), são recomendáveis.</w:t>
      </w:r>
    </w:p>
    <w:p w14:paraId="7B96877C" w14:textId="77777777" w:rsidR="007B5141" w:rsidRPr="00B53D74" w:rsidRDefault="00000000">
      <w:pPr>
        <w:rPr>
          <w:sz w:val="24"/>
          <w:szCs w:val="24"/>
        </w:rPr>
      </w:pPr>
      <w:r w:rsidRPr="00B53D74">
        <w:rPr>
          <w:sz w:val="24"/>
          <w:szCs w:val="24"/>
        </w:rPr>
        <w:t>O laboratório deve possuir procedimento operacional padrão dedicado ao exame toxicológico em investigação de ocorrências de trânsito</w:t>
      </w:r>
      <w:r w:rsidRPr="00B53D74">
        <w:rPr>
          <w:sz w:val="24"/>
          <w:szCs w:val="24"/>
          <w:shd w:val="clear" w:color="auto" w:fill="F8F9FA"/>
        </w:rPr>
        <w:t xml:space="preserve"> em sangue</w:t>
      </w:r>
      <w:r w:rsidRPr="00B53D74">
        <w:rPr>
          <w:sz w:val="24"/>
          <w:szCs w:val="24"/>
        </w:rPr>
        <w:t>, onde deverão estar definidos os critérios específicos do laboratório para esta análise. O documento deve conter, pelo menos, informações sobre:</w:t>
      </w:r>
    </w:p>
    <w:p w14:paraId="58D8A32C" w14:textId="77777777" w:rsidR="007B5141" w:rsidRDefault="00000000">
      <w:pPr>
        <w:numPr>
          <w:ilvl w:val="0"/>
          <w:numId w:val="3"/>
        </w:numPr>
        <w:spacing w:after="0"/>
        <w:rPr>
          <w:color w:val="000000"/>
          <w:sz w:val="24"/>
          <w:szCs w:val="24"/>
        </w:rPr>
      </w:pPr>
      <w:r>
        <w:rPr>
          <w:color w:val="000000"/>
          <w:sz w:val="24"/>
          <w:szCs w:val="24"/>
        </w:rPr>
        <w:t>Procedimentos de recebimento, armazenamento e aliquotagem da amostra.</w:t>
      </w:r>
    </w:p>
    <w:p w14:paraId="09F8A408" w14:textId="77777777" w:rsidR="007B5141" w:rsidRDefault="00000000">
      <w:pPr>
        <w:numPr>
          <w:ilvl w:val="0"/>
          <w:numId w:val="3"/>
        </w:numPr>
        <w:spacing w:after="0"/>
        <w:rPr>
          <w:color w:val="000000"/>
          <w:sz w:val="24"/>
          <w:szCs w:val="24"/>
        </w:rPr>
      </w:pPr>
      <w:r>
        <w:rPr>
          <w:color w:val="000000"/>
          <w:sz w:val="24"/>
          <w:szCs w:val="24"/>
        </w:rPr>
        <w:t>Procedimentos de registro d</w:t>
      </w:r>
      <w:r>
        <w:rPr>
          <w:sz w:val="24"/>
          <w:szCs w:val="24"/>
        </w:rPr>
        <w:t>e</w:t>
      </w:r>
      <w:r>
        <w:rPr>
          <w:color w:val="000000"/>
          <w:sz w:val="24"/>
          <w:szCs w:val="24"/>
        </w:rPr>
        <w:t xml:space="preserve"> transferência da amostra.</w:t>
      </w:r>
    </w:p>
    <w:p w14:paraId="22B9809A" w14:textId="77777777" w:rsidR="007B5141" w:rsidRDefault="00000000">
      <w:pPr>
        <w:numPr>
          <w:ilvl w:val="0"/>
          <w:numId w:val="3"/>
        </w:numPr>
        <w:spacing w:after="0"/>
        <w:rPr>
          <w:color w:val="000000"/>
          <w:sz w:val="24"/>
          <w:szCs w:val="24"/>
        </w:rPr>
      </w:pPr>
      <w:r>
        <w:rPr>
          <w:color w:val="000000"/>
          <w:sz w:val="24"/>
          <w:szCs w:val="24"/>
        </w:rPr>
        <w:t>Modo de preparo dos calibradores e controles.</w:t>
      </w:r>
    </w:p>
    <w:p w14:paraId="4187688A" w14:textId="77777777" w:rsidR="007B5141" w:rsidRDefault="00000000">
      <w:pPr>
        <w:numPr>
          <w:ilvl w:val="0"/>
          <w:numId w:val="3"/>
        </w:numPr>
        <w:spacing w:after="0"/>
        <w:rPr>
          <w:color w:val="000000"/>
          <w:sz w:val="24"/>
          <w:szCs w:val="24"/>
        </w:rPr>
      </w:pPr>
      <w:r>
        <w:rPr>
          <w:color w:val="000000"/>
          <w:sz w:val="24"/>
          <w:szCs w:val="24"/>
        </w:rPr>
        <w:t>Procedimento analítico detalhado.</w:t>
      </w:r>
    </w:p>
    <w:p w14:paraId="02C252C0" w14:textId="77777777" w:rsidR="007B5141" w:rsidRDefault="00000000">
      <w:pPr>
        <w:numPr>
          <w:ilvl w:val="0"/>
          <w:numId w:val="3"/>
        </w:numPr>
        <w:spacing w:after="0"/>
        <w:rPr>
          <w:color w:val="000000"/>
          <w:sz w:val="24"/>
          <w:szCs w:val="24"/>
        </w:rPr>
      </w:pPr>
      <w:r>
        <w:rPr>
          <w:color w:val="000000"/>
          <w:sz w:val="24"/>
          <w:szCs w:val="24"/>
        </w:rPr>
        <w:t>Procedimentos e parâmetros de calibração.</w:t>
      </w:r>
    </w:p>
    <w:p w14:paraId="73ED3057" w14:textId="77777777" w:rsidR="007B5141" w:rsidRDefault="00000000">
      <w:pPr>
        <w:numPr>
          <w:ilvl w:val="0"/>
          <w:numId w:val="3"/>
        </w:numPr>
        <w:spacing w:after="0"/>
        <w:rPr>
          <w:color w:val="000000"/>
          <w:sz w:val="24"/>
          <w:szCs w:val="24"/>
        </w:rPr>
      </w:pPr>
      <w:r>
        <w:rPr>
          <w:color w:val="000000"/>
          <w:sz w:val="24"/>
          <w:szCs w:val="24"/>
        </w:rPr>
        <w:t>Resultados da validação analítica do método.</w:t>
      </w:r>
    </w:p>
    <w:p w14:paraId="6D647A55" w14:textId="77777777" w:rsidR="007B5141" w:rsidRDefault="00000000">
      <w:pPr>
        <w:numPr>
          <w:ilvl w:val="0"/>
          <w:numId w:val="3"/>
        </w:numPr>
        <w:spacing w:after="0"/>
        <w:rPr>
          <w:color w:val="000000"/>
          <w:sz w:val="24"/>
          <w:szCs w:val="24"/>
        </w:rPr>
      </w:pPr>
      <w:r>
        <w:rPr>
          <w:color w:val="000000"/>
          <w:sz w:val="24"/>
          <w:szCs w:val="24"/>
        </w:rPr>
        <w:t>Critério de aceitação de dados analíticos.</w:t>
      </w:r>
    </w:p>
    <w:p w14:paraId="42B6020B" w14:textId="77777777" w:rsidR="007B5141" w:rsidRDefault="00000000">
      <w:pPr>
        <w:numPr>
          <w:ilvl w:val="0"/>
          <w:numId w:val="3"/>
        </w:numPr>
        <w:spacing w:after="0"/>
        <w:rPr>
          <w:color w:val="000000"/>
          <w:sz w:val="24"/>
          <w:szCs w:val="24"/>
        </w:rPr>
      </w:pPr>
      <w:r>
        <w:rPr>
          <w:color w:val="000000"/>
          <w:sz w:val="24"/>
          <w:szCs w:val="24"/>
        </w:rPr>
        <w:t>Procedimento para registro, revisão e transcrição dos resultados.</w:t>
      </w:r>
    </w:p>
    <w:p w14:paraId="5B7940E1" w14:textId="77777777" w:rsidR="007B5141" w:rsidRDefault="00000000">
      <w:pPr>
        <w:numPr>
          <w:ilvl w:val="0"/>
          <w:numId w:val="3"/>
        </w:numPr>
        <w:rPr>
          <w:color w:val="000000"/>
          <w:sz w:val="24"/>
          <w:szCs w:val="24"/>
        </w:rPr>
      </w:pPr>
      <w:r>
        <w:rPr>
          <w:color w:val="000000"/>
          <w:sz w:val="24"/>
          <w:szCs w:val="24"/>
        </w:rPr>
        <w:t>Procedimentos para guarda da amostra após exame e emissão do resultado.</w:t>
      </w:r>
    </w:p>
    <w:p w14:paraId="55BACC42" w14:textId="77777777" w:rsidR="007B5141" w:rsidRDefault="00000000">
      <w:pPr>
        <w:rPr>
          <w:sz w:val="24"/>
          <w:szCs w:val="24"/>
        </w:rPr>
      </w:pPr>
      <w:r>
        <w:rPr>
          <w:sz w:val="24"/>
          <w:szCs w:val="24"/>
        </w:rPr>
        <w:t>O laboratório deve possuir os procedimentos operacionais padrões definindo os métodos, seus limites, interferentes, nos ambientes onde o exame ocorre. Caso ocorram alterações dos procedimentos, o exame deverá ser reiniciado utilizando outra porção da mesma amostra original. Todas essas ocorrências devem ser registradas.</w:t>
      </w:r>
    </w:p>
    <w:p w14:paraId="7A3AD59E" w14:textId="3E7C8CC3" w:rsidR="007B5141" w:rsidRPr="007907C1" w:rsidRDefault="00000000">
      <w:pPr>
        <w:rPr>
          <w:sz w:val="24"/>
          <w:szCs w:val="24"/>
        </w:rPr>
      </w:pPr>
      <w:r w:rsidRPr="007907C1">
        <w:rPr>
          <w:sz w:val="24"/>
          <w:szCs w:val="24"/>
        </w:rPr>
        <w:t xml:space="preserve">Os instrumentos (cromatógrafos, balanças, micropipetas) e vidrarias volumétricas devem atender os requisitos de qualidade laboratorial, </w:t>
      </w:r>
      <w:r w:rsidR="007907C1" w:rsidRPr="007907C1">
        <w:rPr>
          <w:sz w:val="24"/>
          <w:szCs w:val="24"/>
        </w:rPr>
        <w:t>com</w:t>
      </w:r>
      <w:r w:rsidRPr="007907C1">
        <w:rPr>
          <w:sz w:val="24"/>
          <w:szCs w:val="24"/>
        </w:rPr>
        <w:t xml:space="preserve"> calibração periódica, com certificado de calibração válido durante o período de execução das análises.</w:t>
      </w:r>
    </w:p>
    <w:p w14:paraId="3E21FFD7" w14:textId="77777777" w:rsidR="007B5141" w:rsidRDefault="007B5141">
      <w:pPr>
        <w:rPr>
          <w:sz w:val="24"/>
          <w:szCs w:val="24"/>
        </w:rPr>
      </w:pPr>
    </w:p>
    <w:p w14:paraId="3960B53F" w14:textId="77777777" w:rsidR="007B5141" w:rsidRDefault="00000000">
      <w:pPr>
        <w:pStyle w:val="PargrafodaLista"/>
        <w:numPr>
          <w:ilvl w:val="1"/>
          <w:numId w:val="6"/>
        </w:numPr>
        <w:tabs>
          <w:tab w:val="left" w:pos="960"/>
        </w:tabs>
        <w:ind w:left="567" w:hanging="567"/>
        <w:outlineLvl w:val="1"/>
        <w:rPr>
          <w:b/>
          <w:color w:val="000000"/>
          <w:sz w:val="24"/>
          <w:szCs w:val="24"/>
        </w:rPr>
      </w:pPr>
      <w:bookmarkStart w:id="16" w:name="_heading=h.2s8eyo1"/>
      <w:bookmarkStart w:id="17" w:name="_Toc165645814"/>
      <w:bookmarkEnd w:id="16"/>
      <w:r>
        <w:rPr>
          <w:b/>
          <w:color w:val="000000"/>
          <w:sz w:val="24"/>
          <w:szCs w:val="24"/>
        </w:rPr>
        <w:t xml:space="preserve">Exames toxicológicos de </w:t>
      </w:r>
      <w:sdt>
        <w:sdtPr>
          <w:tag w:val="goog_rdk_6"/>
          <w:id w:val="2104766610"/>
        </w:sdtPr>
        <w:sdtContent/>
      </w:sdt>
      <w:r>
        <w:rPr>
          <w:b/>
          <w:color w:val="000000"/>
          <w:sz w:val="24"/>
          <w:szCs w:val="24"/>
        </w:rPr>
        <w:t>triagem e confirmação</w:t>
      </w:r>
      <w:bookmarkEnd w:id="17"/>
    </w:p>
    <w:p w14:paraId="4E15F911" w14:textId="77777777" w:rsidR="007B5141" w:rsidRPr="007907C1" w:rsidRDefault="00000000">
      <w:pPr>
        <w:rPr>
          <w:sz w:val="24"/>
          <w:szCs w:val="24"/>
        </w:rPr>
      </w:pPr>
      <w:r w:rsidRPr="007907C1">
        <w:rPr>
          <w:sz w:val="24"/>
          <w:szCs w:val="24"/>
        </w:rPr>
        <w:t>O exame toxicológico em sangue em investigação de ocorrências de trânsito</w:t>
      </w:r>
      <w:r w:rsidRPr="007907C1">
        <w:rPr>
          <w:sz w:val="24"/>
          <w:szCs w:val="24"/>
          <w:shd w:val="clear" w:color="auto" w:fill="F8F9FA"/>
        </w:rPr>
        <w:t xml:space="preserve"> </w:t>
      </w:r>
      <w:r w:rsidRPr="007907C1">
        <w:rPr>
          <w:sz w:val="24"/>
          <w:szCs w:val="24"/>
        </w:rPr>
        <w:t>deverá ser realizado em duas etapas, triagem e confirmação.</w:t>
      </w:r>
    </w:p>
    <w:p w14:paraId="3C00F072" w14:textId="77777777" w:rsidR="007B5141" w:rsidRPr="007907C1" w:rsidRDefault="00000000">
      <w:pPr>
        <w:rPr>
          <w:sz w:val="24"/>
          <w:szCs w:val="24"/>
        </w:rPr>
      </w:pPr>
      <w:r>
        <w:rPr>
          <w:sz w:val="24"/>
          <w:szCs w:val="24"/>
        </w:rPr>
        <w:lastRenderedPageBreak/>
        <w:t xml:space="preserve">A etapa de triagem poderá ser realizada por métodos enzimáticos, imunológicos ou cromatográficos. A etapa de confirmação deverá ser realizada por cromatografia em fase gasosa acoplada à espectrometria de massas (em inglês, </w:t>
      </w:r>
      <w:r>
        <w:rPr>
          <w:i/>
          <w:sz w:val="24"/>
          <w:szCs w:val="24"/>
        </w:rPr>
        <w:t>gas chromatography - mass spectrometry</w:t>
      </w:r>
      <w:r>
        <w:rPr>
          <w:sz w:val="24"/>
          <w:szCs w:val="24"/>
        </w:rPr>
        <w:t xml:space="preserve">, GC-MS), por cromatografia em fase gasosa acoplada à espectrometria de massas sequencial (em inglês, </w:t>
      </w:r>
      <w:r w:rsidRPr="007907C1">
        <w:rPr>
          <w:i/>
          <w:sz w:val="24"/>
          <w:szCs w:val="24"/>
        </w:rPr>
        <w:t>gas chromatography tandem mass spectrometry</w:t>
      </w:r>
      <w:r>
        <w:rPr>
          <w:i/>
          <w:color w:val="0000FF"/>
          <w:sz w:val="24"/>
          <w:szCs w:val="24"/>
        </w:rPr>
        <w:t>,</w:t>
      </w:r>
      <w:r>
        <w:rPr>
          <w:sz w:val="24"/>
          <w:szCs w:val="24"/>
        </w:rPr>
        <w:t xml:space="preserve"> GC-MS/MS) ou </w:t>
      </w:r>
      <w:r w:rsidRPr="007907C1">
        <w:rPr>
          <w:sz w:val="24"/>
          <w:szCs w:val="24"/>
        </w:rPr>
        <w:t xml:space="preserve">por cromatografia em fase líquida acoplada à espectrometria de massas sequencial (em inglês, </w:t>
      </w:r>
      <w:r w:rsidRPr="007907C1">
        <w:rPr>
          <w:i/>
          <w:sz w:val="24"/>
          <w:szCs w:val="24"/>
        </w:rPr>
        <w:t>liquid chromatography tandem mass spectrometry</w:t>
      </w:r>
      <w:r w:rsidRPr="007907C1">
        <w:rPr>
          <w:sz w:val="24"/>
          <w:szCs w:val="24"/>
        </w:rPr>
        <w:t xml:space="preserve">, LC-MS/MS). </w:t>
      </w:r>
    </w:p>
    <w:p w14:paraId="0B151524" w14:textId="4811B00F" w:rsidR="007B5141" w:rsidRPr="007907C1" w:rsidRDefault="00000000">
      <w:pPr>
        <w:rPr>
          <w:sz w:val="24"/>
          <w:szCs w:val="24"/>
        </w:rPr>
      </w:pPr>
      <w:r w:rsidRPr="007907C1">
        <w:rPr>
          <w:sz w:val="24"/>
          <w:szCs w:val="24"/>
        </w:rPr>
        <w:t xml:space="preserve">Nas etapas de triagem e confirmação, deverão ser observadas as </w:t>
      </w:r>
      <w:r w:rsidR="007907C1" w:rsidRPr="007907C1">
        <w:rPr>
          <w:sz w:val="24"/>
          <w:szCs w:val="24"/>
        </w:rPr>
        <w:t xml:space="preserve">sensibilidades analíticas mínimas </w:t>
      </w:r>
      <w:r w:rsidRPr="007907C1">
        <w:rPr>
          <w:sz w:val="24"/>
          <w:szCs w:val="24"/>
        </w:rPr>
        <w:t>estabelecidas em sangue, previstas na Tabela 1.</w:t>
      </w:r>
      <w:r>
        <w:rPr>
          <w:sz w:val="24"/>
          <w:szCs w:val="24"/>
        </w:rPr>
        <w:t xml:space="preserve"> </w:t>
      </w:r>
      <w:r w:rsidRPr="007907C1">
        <w:rPr>
          <w:sz w:val="24"/>
          <w:szCs w:val="24"/>
        </w:rPr>
        <w:t xml:space="preserve">Nos exames de triagem, os analitos detectados em concentração igual ou </w:t>
      </w:r>
      <w:r w:rsidR="007907C1" w:rsidRPr="007907C1">
        <w:rPr>
          <w:sz w:val="24"/>
          <w:szCs w:val="24"/>
        </w:rPr>
        <w:t>acima das sensibilidades analíticas são considerados detectados</w:t>
      </w:r>
      <w:r>
        <w:rPr>
          <w:sz w:val="24"/>
          <w:szCs w:val="24"/>
        </w:rPr>
        <w:t xml:space="preserve">, e </w:t>
      </w:r>
      <w:r w:rsidRPr="007907C1">
        <w:rPr>
          <w:sz w:val="24"/>
          <w:szCs w:val="24"/>
        </w:rPr>
        <w:t>deverão obrigatoriamente ser submetidos à etapa de confirmação</w:t>
      </w:r>
      <w:r>
        <w:rPr>
          <w:sz w:val="24"/>
          <w:szCs w:val="24"/>
        </w:rPr>
        <w:t xml:space="preserve">. </w:t>
      </w:r>
      <w:r>
        <w:rPr>
          <w:color w:val="000000" w:themeColor="dark1"/>
          <w:sz w:val="24"/>
          <w:szCs w:val="24"/>
        </w:rPr>
        <w:t>Analitos com</w:t>
      </w:r>
      <w:r>
        <w:rPr>
          <w:sz w:val="24"/>
          <w:szCs w:val="24"/>
        </w:rPr>
        <w:t xml:space="preserve"> valores abaixo </w:t>
      </w:r>
      <w:r w:rsidR="007907C1">
        <w:rPr>
          <w:sz w:val="24"/>
          <w:szCs w:val="24"/>
        </w:rPr>
        <w:t xml:space="preserve">das sensibilidades analíticas para triagem </w:t>
      </w:r>
      <w:r>
        <w:rPr>
          <w:sz w:val="24"/>
          <w:szCs w:val="24"/>
        </w:rPr>
        <w:t xml:space="preserve">serão considerados não detectados, </w:t>
      </w:r>
      <w:r w:rsidRPr="007907C1">
        <w:rPr>
          <w:sz w:val="24"/>
          <w:szCs w:val="24"/>
        </w:rPr>
        <w:t>e as amostras não precisam ser submetidas à nova análise.</w:t>
      </w:r>
      <w:r>
        <w:rPr>
          <w:sz w:val="24"/>
          <w:szCs w:val="24"/>
        </w:rPr>
        <w:t xml:space="preserve"> </w:t>
      </w:r>
      <w:r w:rsidRPr="007907C1">
        <w:rPr>
          <w:sz w:val="24"/>
          <w:szCs w:val="24"/>
        </w:rPr>
        <w:t xml:space="preserve">Mesmo que a etapa de triagem seja realizada por técnicas cromatográficas hifenadas com espectrometria de massa (p.e. GC-MS, GC-MS/MS ou LC-MS/MS), os resultados detectados deverão ser </w:t>
      </w:r>
      <w:r w:rsidR="0063228B" w:rsidRPr="007907C1">
        <w:rPr>
          <w:sz w:val="24"/>
          <w:szCs w:val="24"/>
        </w:rPr>
        <w:t xml:space="preserve">posteriormente </w:t>
      </w:r>
      <w:r w:rsidRPr="007907C1">
        <w:rPr>
          <w:sz w:val="24"/>
          <w:szCs w:val="24"/>
        </w:rPr>
        <w:t xml:space="preserve">confirmados por meio da análise completa de nova alíquota da mesma amostra. </w:t>
      </w:r>
    </w:p>
    <w:p w14:paraId="10DA3CAC" w14:textId="77777777" w:rsidR="007B5141" w:rsidRDefault="007B5141">
      <w:pPr>
        <w:ind w:firstLine="0"/>
        <w:rPr>
          <w:sz w:val="24"/>
          <w:szCs w:val="24"/>
        </w:rPr>
      </w:pPr>
    </w:p>
    <w:p w14:paraId="1F565480" w14:textId="0BC0AD3A" w:rsidR="007B5141" w:rsidRDefault="00000000">
      <w:pPr>
        <w:pStyle w:val="PargrafodaLista"/>
        <w:numPr>
          <w:ilvl w:val="1"/>
          <w:numId w:val="6"/>
        </w:numPr>
        <w:tabs>
          <w:tab w:val="left" w:pos="960"/>
        </w:tabs>
        <w:ind w:left="567" w:hanging="567"/>
        <w:outlineLvl w:val="1"/>
        <w:rPr>
          <w:b/>
          <w:color w:val="000000"/>
          <w:sz w:val="24"/>
          <w:szCs w:val="24"/>
        </w:rPr>
      </w:pPr>
      <w:bookmarkStart w:id="18" w:name="_Toc165645815"/>
      <w:r>
        <w:rPr>
          <w:b/>
          <w:color w:val="000000"/>
          <w:sz w:val="24"/>
          <w:szCs w:val="24"/>
        </w:rPr>
        <w:t xml:space="preserve">Critérios para identificação de analitos </w:t>
      </w:r>
      <w:r w:rsidR="007907C1">
        <w:rPr>
          <w:b/>
          <w:color w:val="000000"/>
          <w:sz w:val="24"/>
          <w:szCs w:val="24"/>
        </w:rPr>
        <w:t>alvo</w:t>
      </w:r>
      <w:bookmarkEnd w:id="18"/>
    </w:p>
    <w:p w14:paraId="4DF466F3" w14:textId="77777777" w:rsidR="007B5141" w:rsidRDefault="00000000">
      <w:pPr>
        <w:rPr>
          <w:sz w:val="24"/>
          <w:szCs w:val="24"/>
        </w:rPr>
      </w:pPr>
      <w:r>
        <w:rPr>
          <w:sz w:val="24"/>
          <w:szCs w:val="24"/>
        </w:rPr>
        <w:t xml:space="preserve">A interpretação dos resultados obtidos deve ser realizada tendo como referência a análise do controle positivo e do controle negativo. O controle positivo é uma amostra preparada propositalmente com concentrações no valor de sensibilidade analítica (vide Tabela 1). Assim, o método deve ser capaz de identificar nessa amostra </w:t>
      </w:r>
      <w:r w:rsidRPr="007907C1">
        <w:rPr>
          <w:sz w:val="24"/>
          <w:szCs w:val="24"/>
        </w:rPr>
        <w:t>a presença de todos analitos que fazem parte do escopo definido pelo laboratório.</w:t>
      </w:r>
      <w:r>
        <w:rPr>
          <w:sz w:val="24"/>
          <w:szCs w:val="24"/>
        </w:rPr>
        <w:t xml:space="preserve"> De forma semelhante, a análise do controle negativo não deve acusar a presença de </w:t>
      </w:r>
      <w:r w:rsidRPr="007907C1">
        <w:rPr>
          <w:sz w:val="24"/>
          <w:szCs w:val="24"/>
        </w:rPr>
        <w:t>qualquer a</w:t>
      </w:r>
      <w:r>
        <w:rPr>
          <w:sz w:val="24"/>
          <w:szCs w:val="24"/>
        </w:rPr>
        <w:t xml:space="preserve">nalito, exceto do padrão interno. A abundância relativa dos íons obtidos e o tempo de retenção de cada analito devem ser avaliados conforme o resultado fornecido pela análise do controle positivo, sendo a variação permitida de tempo de retenção de </w:t>
      </w:r>
      <w:sdt>
        <w:sdtPr>
          <w:tag w:val="goog_rdk_7"/>
          <w:id w:val="-1329670518"/>
        </w:sdtPr>
        <w:sdtContent/>
      </w:sdt>
      <w:r>
        <w:rPr>
          <w:sz w:val="24"/>
          <w:szCs w:val="24"/>
        </w:rPr>
        <w:t xml:space="preserve">2%. </w:t>
      </w:r>
    </w:p>
    <w:p w14:paraId="341E57D0" w14:textId="77777777" w:rsidR="007B5141" w:rsidRDefault="00000000">
      <w:pPr>
        <w:rPr>
          <w:sz w:val="24"/>
          <w:szCs w:val="24"/>
        </w:rPr>
      </w:pPr>
      <w:r>
        <w:rPr>
          <w:sz w:val="24"/>
          <w:szCs w:val="24"/>
        </w:rPr>
        <w:t xml:space="preserve">Os critérios de aceitabilidade cromatográfica (tempo de retenção, formato do pico, resolução cromatográfica, relação sinal-ruído) adotados durante a validação do método analítico, </w:t>
      </w:r>
      <w:r>
        <w:rPr>
          <w:sz w:val="24"/>
          <w:szCs w:val="24"/>
        </w:rPr>
        <w:lastRenderedPageBreak/>
        <w:t>devem estar descritos no procedimento operacional padrão do laboratório e devem ser atendidos para a identificação do analito na amostra investigada.</w:t>
      </w:r>
    </w:p>
    <w:p w14:paraId="0B1B90BF" w14:textId="2E8CADB8" w:rsidR="007B5141" w:rsidRDefault="00000000">
      <w:pPr>
        <w:rPr>
          <w:sz w:val="24"/>
          <w:szCs w:val="24"/>
          <w:highlight w:val="white"/>
        </w:rPr>
      </w:pPr>
      <w:r>
        <w:rPr>
          <w:sz w:val="24"/>
          <w:szCs w:val="24"/>
          <w:highlight w:val="white"/>
        </w:rPr>
        <w:t xml:space="preserve">Na análise por espectrometria de massas, os íons diagnósticos dos analitos alvos, suas intensidades relativas e tolerâncias máximas permitidas devem estar documentadas no procedimento operacional padrão de cada laboratório. A confirmação empregando a relação de íons requer o uso de </w:t>
      </w:r>
      <w:r w:rsidR="007907C1" w:rsidRPr="007907C1">
        <w:rPr>
          <w:sz w:val="24"/>
          <w:szCs w:val="24"/>
          <w:highlight w:val="white"/>
        </w:rPr>
        <w:t>pelo</w:t>
      </w:r>
      <w:r>
        <w:rPr>
          <w:sz w:val="24"/>
          <w:szCs w:val="24"/>
          <w:highlight w:val="white"/>
        </w:rPr>
        <w:t xml:space="preserve"> menos três íons característicos ou duas transições quando empregado o monitoramento de reação múltiplas (MRM). Além disso, a variação das abundâncias relativas de cada fragmento deve obedecer ao disposto na Tabela 2. </w:t>
      </w:r>
    </w:p>
    <w:p w14:paraId="4E7BDFAB" w14:textId="77777777" w:rsidR="007B5141" w:rsidRDefault="007B5141">
      <w:pPr>
        <w:rPr>
          <w:sz w:val="24"/>
          <w:szCs w:val="24"/>
          <w:highlight w:val="yellow"/>
        </w:rPr>
      </w:pPr>
    </w:p>
    <w:p w14:paraId="19519D5D" w14:textId="77777777" w:rsidR="007B5141" w:rsidRDefault="00000000">
      <w:pPr>
        <w:ind w:firstLine="0"/>
        <w:rPr>
          <w:sz w:val="24"/>
          <w:szCs w:val="24"/>
        </w:rPr>
      </w:pPr>
      <w:sdt>
        <w:sdtPr>
          <w:tag w:val="goog_rdk_8"/>
          <w:id w:val="-683510979"/>
        </w:sdtPr>
        <w:sdtContent/>
      </w:sdt>
      <w:r>
        <w:rPr>
          <w:sz w:val="24"/>
          <w:szCs w:val="24"/>
          <w:highlight w:val="white"/>
        </w:rPr>
        <w:t>Tabela 2. Tolerâ</w:t>
      </w:r>
      <w:r>
        <w:rPr>
          <w:sz w:val="24"/>
          <w:szCs w:val="24"/>
        </w:rPr>
        <w:t>ncias máximas permitidas para razões de íons na identificação por espectrometria de massas.</w:t>
      </w:r>
    </w:p>
    <w:tbl>
      <w:tblPr>
        <w:tblW w:w="9338" w:type="dxa"/>
        <w:tblInd w:w="109" w:type="dxa"/>
        <w:tblLayout w:type="fixed"/>
        <w:tblLook w:val="0400" w:firstRow="0" w:lastRow="0" w:firstColumn="0" w:lastColumn="0" w:noHBand="0" w:noVBand="1"/>
      </w:tblPr>
      <w:tblGrid>
        <w:gridCol w:w="3822"/>
        <w:gridCol w:w="2835"/>
        <w:gridCol w:w="2681"/>
      </w:tblGrid>
      <w:tr w:rsidR="007B5141" w14:paraId="760DCAA8" w14:textId="77777777">
        <w:tc>
          <w:tcPr>
            <w:tcW w:w="3822" w:type="dxa"/>
            <w:tcBorders>
              <w:top w:val="single" w:sz="4" w:space="0" w:color="000000"/>
              <w:left w:val="single" w:sz="4" w:space="0" w:color="000000"/>
              <w:bottom w:val="single" w:sz="4" w:space="0" w:color="000000"/>
              <w:right w:val="single" w:sz="4" w:space="0" w:color="000000"/>
            </w:tcBorders>
          </w:tcPr>
          <w:p w14:paraId="6B0ECA7E" w14:textId="77777777" w:rsidR="007B5141" w:rsidRDefault="00000000">
            <w:pPr>
              <w:ind w:firstLine="0"/>
              <w:jc w:val="center"/>
              <w:rPr>
                <w:b/>
                <w:sz w:val="24"/>
                <w:szCs w:val="24"/>
              </w:rPr>
            </w:pPr>
            <w:r>
              <w:rPr>
                <w:b/>
                <w:sz w:val="24"/>
                <w:szCs w:val="24"/>
              </w:rPr>
              <w:t>Intensidade relativa (% em relação ao íon ou à transição de quantificação)</w:t>
            </w:r>
          </w:p>
        </w:tc>
        <w:tc>
          <w:tcPr>
            <w:tcW w:w="2835" w:type="dxa"/>
            <w:tcBorders>
              <w:top w:val="single" w:sz="4" w:space="0" w:color="000000"/>
              <w:left w:val="single" w:sz="4" w:space="0" w:color="000000"/>
              <w:bottom w:val="single" w:sz="4" w:space="0" w:color="000000"/>
              <w:right w:val="single" w:sz="4" w:space="0" w:color="000000"/>
            </w:tcBorders>
          </w:tcPr>
          <w:p w14:paraId="317B33D4" w14:textId="77777777" w:rsidR="007B5141" w:rsidRDefault="00000000">
            <w:pPr>
              <w:ind w:firstLine="0"/>
              <w:jc w:val="center"/>
              <w:rPr>
                <w:b/>
                <w:sz w:val="24"/>
                <w:szCs w:val="24"/>
              </w:rPr>
            </w:pPr>
            <w:r>
              <w:rPr>
                <w:b/>
                <w:sz w:val="24"/>
                <w:szCs w:val="24"/>
              </w:rPr>
              <w:t xml:space="preserve">Tolerância para ionização por elétrons </w:t>
            </w:r>
            <w:r w:rsidRPr="007907C1">
              <w:rPr>
                <w:b/>
                <w:sz w:val="24"/>
                <w:szCs w:val="24"/>
              </w:rPr>
              <w:t>(EI)*</w:t>
            </w:r>
          </w:p>
        </w:tc>
        <w:tc>
          <w:tcPr>
            <w:tcW w:w="2681" w:type="dxa"/>
            <w:tcBorders>
              <w:top w:val="single" w:sz="4" w:space="0" w:color="000000"/>
              <w:left w:val="single" w:sz="4" w:space="0" w:color="000000"/>
              <w:bottom w:val="single" w:sz="4" w:space="0" w:color="000000"/>
              <w:right w:val="single" w:sz="4" w:space="0" w:color="000000"/>
            </w:tcBorders>
          </w:tcPr>
          <w:p w14:paraId="5E802B66" w14:textId="77777777" w:rsidR="007B5141" w:rsidRDefault="00000000">
            <w:pPr>
              <w:ind w:firstLine="0"/>
              <w:jc w:val="center"/>
              <w:rPr>
                <w:b/>
                <w:sz w:val="24"/>
                <w:szCs w:val="24"/>
              </w:rPr>
            </w:pPr>
            <w:r>
              <w:rPr>
                <w:b/>
                <w:sz w:val="24"/>
                <w:szCs w:val="24"/>
              </w:rPr>
              <w:t>Tolerância para outras técnicas de ionização</w:t>
            </w:r>
          </w:p>
        </w:tc>
      </w:tr>
      <w:tr w:rsidR="007B5141" w14:paraId="277B95B8" w14:textId="77777777">
        <w:tc>
          <w:tcPr>
            <w:tcW w:w="3822" w:type="dxa"/>
            <w:tcBorders>
              <w:top w:val="single" w:sz="4" w:space="0" w:color="000000"/>
              <w:left w:val="single" w:sz="4" w:space="0" w:color="000000"/>
              <w:bottom w:val="single" w:sz="4" w:space="0" w:color="000000"/>
              <w:right w:val="single" w:sz="4" w:space="0" w:color="000000"/>
            </w:tcBorders>
          </w:tcPr>
          <w:p w14:paraId="0A2490BC" w14:textId="77777777" w:rsidR="007B5141" w:rsidRDefault="00000000">
            <w:pPr>
              <w:ind w:firstLine="0"/>
              <w:rPr>
                <w:sz w:val="24"/>
                <w:szCs w:val="24"/>
              </w:rPr>
            </w:pPr>
            <w:r>
              <w:rPr>
                <w:sz w:val="24"/>
                <w:szCs w:val="24"/>
              </w:rPr>
              <w:t>Maior do que 50%</w:t>
            </w:r>
          </w:p>
        </w:tc>
        <w:tc>
          <w:tcPr>
            <w:tcW w:w="2835" w:type="dxa"/>
            <w:tcBorders>
              <w:top w:val="single" w:sz="4" w:space="0" w:color="000000"/>
              <w:left w:val="single" w:sz="4" w:space="0" w:color="000000"/>
              <w:bottom w:val="single" w:sz="4" w:space="0" w:color="000000"/>
              <w:right w:val="single" w:sz="4" w:space="0" w:color="000000"/>
            </w:tcBorders>
          </w:tcPr>
          <w:p w14:paraId="37D13FF5" w14:textId="77777777" w:rsidR="007B5141" w:rsidRDefault="00000000">
            <w:pPr>
              <w:ind w:firstLine="0"/>
              <w:jc w:val="center"/>
              <w:rPr>
                <w:sz w:val="24"/>
                <w:szCs w:val="24"/>
              </w:rPr>
            </w:pPr>
            <w:r>
              <w:rPr>
                <w:sz w:val="24"/>
                <w:szCs w:val="24"/>
              </w:rPr>
              <w:t>± 20%</w:t>
            </w:r>
          </w:p>
        </w:tc>
        <w:tc>
          <w:tcPr>
            <w:tcW w:w="2681" w:type="dxa"/>
            <w:tcBorders>
              <w:top w:val="single" w:sz="4" w:space="0" w:color="000000"/>
              <w:left w:val="single" w:sz="4" w:space="0" w:color="000000"/>
              <w:bottom w:val="single" w:sz="4" w:space="0" w:color="000000"/>
              <w:right w:val="single" w:sz="4" w:space="0" w:color="000000"/>
            </w:tcBorders>
          </w:tcPr>
          <w:p w14:paraId="718F74AA" w14:textId="77777777" w:rsidR="007B5141" w:rsidRDefault="00000000">
            <w:pPr>
              <w:ind w:firstLine="0"/>
              <w:jc w:val="center"/>
              <w:rPr>
                <w:sz w:val="24"/>
                <w:szCs w:val="24"/>
              </w:rPr>
            </w:pPr>
            <w:r>
              <w:rPr>
                <w:sz w:val="24"/>
                <w:szCs w:val="24"/>
              </w:rPr>
              <w:t>± 20%</w:t>
            </w:r>
          </w:p>
        </w:tc>
      </w:tr>
      <w:tr w:rsidR="007B5141" w14:paraId="0CBE0427" w14:textId="77777777">
        <w:tc>
          <w:tcPr>
            <w:tcW w:w="3822" w:type="dxa"/>
            <w:tcBorders>
              <w:top w:val="single" w:sz="4" w:space="0" w:color="000000"/>
              <w:left w:val="single" w:sz="4" w:space="0" w:color="000000"/>
              <w:bottom w:val="single" w:sz="4" w:space="0" w:color="000000"/>
              <w:right w:val="single" w:sz="4" w:space="0" w:color="000000"/>
            </w:tcBorders>
          </w:tcPr>
          <w:p w14:paraId="4B2B8657" w14:textId="77777777" w:rsidR="007B5141" w:rsidRDefault="00000000">
            <w:pPr>
              <w:ind w:firstLine="0"/>
              <w:rPr>
                <w:sz w:val="24"/>
                <w:szCs w:val="24"/>
              </w:rPr>
            </w:pPr>
            <w:r>
              <w:rPr>
                <w:sz w:val="24"/>
                <w:szCs w:val="24"/>
              </w:rPr>
              <w:t>De 20 até 50% (incluindo)</w:t>
            </w:r>
          </w:p>
        </w:tc>
        <w:tc>
          <w:tcPr>
            <w:tcW w:w="2835" w:type="dxa"/>
            <w:tcBorders>
              <w:top w:val="single" w:sz="4" w:space="0" w:color="000000"/>
              <w:left w:val="single" w:sz="4" w:space="0" w:color="000000"/>
              <w:bottom w:val="single" w:sz="4" w:space="0" w:color="000000"/>
              <w:right w:val="single" w:sz="4" w:space="0" w:color="000000"/>
            </w:tcBorders>
          </w:tcPr>
          <w:p w14:paraId="5FCD90EB" w14:textId="77777777" w:rsidR="007B5141" w:rsidRDefault="00000000">
            <w:pPr>
              <w:ind w:firstLine="0"/>
              <w:jc w:val="center"/>
              <w:rPr>
                <w:sz w:val="24"/>
                <w:szCs w:val="24"/>
              </w:rPr>
            </w:pPr>
            <w:r>
              <w:rPr>
                <w:sz w:val="24"/>
                <w:szCs w:val="24"/>
              </w:rPr>
              <w:t>± 20%</w:t>
            </w:r>
          </w:p>
        </w:tc>
        <w:tc>
          <w:tcPr>
            <w:tcW w:w="2681" w:type="dxa"/>
            <w:tcBorders>
              <w:top w:val="single" w:sz="4" w:space="0" w:color="000000"/>
              <w:left w:val="single" w:sz="4" w:space="0" w:color="000000"/>
              <w:bottom w:val="single" w:sz="4" w:space="0" w:color="000000"/>
              <w:right w:val="single" w:sz="4" w:space="0" w:color="000000"/>
            </w:tcBorders>
          </w:tcPr>
          <w:p w14:paraId="6C3D74FD" w14:textId="77777777" w:rsidR="007B5141" w:rsidRDefault="00000000">
            <w:pPr>
              <w:ind w:firstLine="0"/>
              <w:jc w:val="center"/>
              <w:rPr>
                <w:sz w:val="24"/>
                <w:szCs w:val="24"/>
              </w:rPr>
            </w:pPr>
            <w:r>
              <w:rPr>
                <w:sz w:val="24"/>
                <w:szCs w:val="24"/>
              </w:rPr>
              <w:t>± 25%</w:t>
            </w:r>
          </w:p>
        </w:tc>
      </w:tr>
      <w:tr w:rsidR="007B5141" w14:paraId="1E59FB85" w14:textId="77777777">
        <w:tc>
          <w:tcPr>
            <w:tcW w:w="3822" w:type="dxa"/>
            <w:tcBorders>
              <w:top w:val="single" w:sz="4" w:space="0" w:color="000000"/>
              <w:left w:val="single" w:sz="4" w:space="0" w:color="000000"/>
              <w:bottom w:val="single" w:sz="4" w:space="0" w:color="000000"/>
              <w:right w:val="single" w:sz="4" w:space="0" w:color="000000"/>
            </w:tcBorders>
          </w:tcPr>
          <w:p w14:paraId="70B1F18E" w14:textId="77777777" w:rsidR="007B5141" w:rsidRDefault="00000000">
            <w:pPr>
              <w:ind w:firstLine="0"/>
              <w:rPr>
                <w:sz w:val="24"/>
                <w:szCs w:val="24"/>
              </w:rPr>
            </w:pPr>
            <w:r>
              <w:rPr>
                <w:sz w:val="24"/>
                <w:szCs w:val="24"/>
              </w:rPr>
              <w:t>De 10 até 20% (incluindo)</w:t>
            </w:r>
          </w:p>
        </w:tc>
        <w:tc>
          <w:tcPr>
            <w:tcW w:w="2835" w:type="dxa"/>
            <w:tcBorders>
              <w:top w:val="single" w:sz="4" w:space="0" w:color="000000"/>
              <w:left w:val="single" w:sz="4" w:space="0" w:color="000000"/>
              <w:bottom w:val="single" w:sz="4" w:space="0" w:color="000000"/>
              <w:right w:val="single" w:sz="4" w:space="0" w:color="000000"/>
            </w:tcBorders>
          </w:tcPr>
          <w:p w14:paraId="758CC6EC" w14:textId="77777777" w:rsidR="007B5141" w:rsidRDefault="00000000">
            <w:pPr>
              <w:ind w:firstLine="0"/>
              <w:jc w:val="center"/>
              <w:rPr>
                <w:sz w:val="24"/>
                <w:szCs w:val="24"/>
              </w:rPr>
            </w:pPr>
            <w:r>
              <w:rPr>
                <w:sz w:val="24"/>
                <w:szCs w:val="24"/>
              </w:rPr>
              <w:t>± 20%</w:t>
            </w:r>
          </w:p>
        </w:tc>
        <w:tc>
          <w:tcPr>
            <w:tcW w:w="2681" w:type="dxa"/>
            <w:tcBorders>
              <w:top w:val="single" w:sz="4" w:space="0" w:color="000000"/>
              <w:left w:val="single" w:sz="4" w:space="0" w:color="000000"/>
              <w:bottom w:val="single" w:sz="4" w:space="0" w:color="000000"/>
              <w:right w:val="single" w:sz="4" w:space="0" w:color="000000"/>
            </w:tcBorders>
          </w:tcPr>
          <w:p w14:paraId="34B85321" w14:textId="77777777" w:rsidR="007B5141" w:rsidRDefault="00000000">
            <w:pPr>
              <w:ind w:firstLine="0"/>
              <w:jc w:val="center"/>
              <w:rPr>
                <w:sz w:val="24"/>
                <w:szCs w:val="24"/>
              </w:rPr>
            </w:pPr>
            <w:r>
              <w:rPr>
                <w:sz w:val="24"/>
                <w:szCs w:val="24"/>
              </w:rPr>
              <w:t>± 30%</w:t>
            </w:r>
          </w:p>
        </w:tc>
      </w:tr>
      <w:tr w:rsidR="007B5141" w14:paraId="3DDB5073" w14:textId="77777777">
        <w:tc>
          <w:tcPr>
            <w:tcW w:w="3822" w:type="dxa"/>
            <w:tcBorders>
              <w:top w:val="single" w:sz="4" w:space="0" w:color="000000"/>
              <w:left w:val="single" w:sz="4" w:space="0" w:color="000000"/>
              <w:bottom w:val="single" w:sz="4" w:space="0" w:color="000000"/>
              <w:right w:val="single" w:sz="4" w:space="0" w:color="000000"/>
            </w:tcBorders>
          </w:tcPr>
          <w:p w14:paraId="7D12F1AF" w14:textId="77777777" w:rsidR="007B5141" w:rsidRDefault="00000000">
            <w:pPr>
              <w:ind w:firstLine="0"/>
              <w:rPr>
                <w:sz w:val="24"/>
                <w:szCs w:val="24"/>
              </w:rPr>
            </w:pPr>
            <w:r>
              <w:rPr>
                <w:sz w:val="24"/>
                <w:szCs w:val="24"/>
              </w:rPr>
              <w:t>Menor do que 10% (incluindo)</w:t>
            </w:r>
          </w:p>
        </w:tc>
        <w:tc>
          <w:tcPr>
            <w:tcW w:w="2835" w:type="dxa"/>
            <w:tcBorders>
              <w:top w:val="single" w:sz="4" w:space="0" w:color="000000"/>
              <w:left w:val="single" w:sz="4" w:space="0" w:color="000000"/>
              <w:bottom w:val="single" w:sz="4" w:space="0" w:color="000000"/>
              <w:right w:val="single" w:sz="4" w:space="0" w:color="000000"/>
            </w:tcBorders>
          </w:tcPr>
          <w:p w14:paraId="5ACEB4A4" w14:textId="77777777" w:rsidR="007B5141" w:rsidRDefault="00000000">
            <w:pPr>
              <w:ind w:firstLine="0"/>
              <w:jc w:val="center"/>
              <w:rPr>
                <w:sz w:val="24"/>
                <w:szCs w:val="24"/>
              </w:rPr>
            </w:pPr>
            <w:r>
              <w:rPr>
                <w:sz w:val="24"/>
                <w:szCs w:val="24"/>
              </w:rPr>
              <w:t>± 50%</w:t>
            </w:r>
          </w:p>
        </w:tc>
        <w:tc>
          <w:tcPr>
            <w:tcW w:w="2681" w:type="dxa"/>
            <w:tcBorders>
              <w:top w:val="single" w:sz="4" w:space="0" w:color="000000"/>
              <w:left w:val="single" w:sz="4" w:space="0" w:color="000000"/>
              <w:bottom w:val="single" w:sz="4" w:space="0" w:color="000000"/>
              <w:right w:val="single" w:sz="4" w:space="0" w:color="000000"/>
            </w:tcBorders>
          </w:tcPr>
          <w:p w14:paraId="46F4F156" w14:textId="77777777" w:rsidR="007B5141" w:rsidRDefault="00000000">
            <w:pPr>
              <w:ind w:firstLine="0"/>
              <w:jc w:val="center"/>
              <w:rPr>
                <w:sz w:val="24"/>
                <w:szCs w:val="24"/>
              </w:rPr>
            </w:pPr>
            <w:r>
              <w:rPr>
                <w:sz w:val="24"/>
                <w:szCs w:val="24"/>
              </w:rPr>
              <w:t>± 50%</w:t>
            </w:r>
          </w:p>
        </w:tc>
      </w:tr>
    </w:tbl>
    <w:p w14:paraId="21AA2E4F" w14:textId="77777777" w:rsidR="007B5141" w:rsidRDefault="00000000">
      <w:pPr>
        <w:ind w:firstLine="0"/>
      </w:pPr>
      <w:r>
        <w:t>*comumente utilizada em GC-MS e GC-MS/MS</w:t>
      </w:r>
    </w:p>
    <w:p w14:paraId="18BF6112" w14:textId="1EA8F139" w:rsidR="007B5141" w:rsidRDefault="007B5141">
      <w:pPr>
        <w:rPr>
          <w:sz w:val="24"/>
          <w:szCs w:val="24"/>
          <w:highlight w:val="yellow"/>
        </w:rPr>
      </w:pPr>
    </w:p>
    <w:p w14:paraId="38463C92" w14:textId="4481C497" w:rsidR="00F44A76" w:rsidRDefault="00F44A76" w:rsidP="00F44A76">
      <w:pPr>
        <w:rPr>
          <w:sz w:val="24"/>
          <w:szCs w:val="24"/>
        </w:rPr>
      </w:pPr>
      <w:r>
        <w:rPr>
          <w:sz w:val="24"/>
          <w:szCs w:val="24"/>
        </w:rPr>
        <w:t xml:space="preserve">Além dos critérios já elencados, para considerar o resultado da análise da uma amostra válido, o mesmo deve ter intensidade de sinal (área ou altura do pico </w:t>
      </w:r>
      <w:r w:rsidR="00364DF4">
        <w:rPr>
          <w:sz w:val="24"/>
          <w:szCs w:val="24"/>
        </w:rPr>
        <w:t>cromatográfico) do</w:t>
      </w:r>
      <w:r>
        <w:rPr>
          <w:sz w:val="24"/>
          <w:szCs w:val="24"/>
        </w:rPr>
        <w:t xml:space="preserve"> padrão interno variando no máximo 50% em relação à intensidade de sinal (área ou altura do pico cromatográfico) do padrão interno da análise do controle positivo. </w:t>
      </w:r>
    </w:p>
    <w:p w14:paraId="798E83CE" w14:textId="77777777" w:rsidR="00F44A76" w:rsidRDefault="00F44A76" w:rsidP="00F44A76">
      <w:pPr>
        <w:rPr>
          <w:sz w:val="24"/>
          <w:szCs w:val="24"/>
          <w:highlight w:val="white"/>
        </w:rPr>
      </w:pPr>
      <w:r>
        <w:rPr>
          <w:sz w:val="24"/>
          <w:szCs w:val="24"/>
          <w:highlight w:val="white"/>
        </w:rPr>
        <w:t xml:space="preserve">É recomendado que os resultados sejam analisados e revisados por analistas/peritos diferentes. </w:t>
      </w:r>
    </w:p>
    <w:p w14:paraId="523AE3E9" w14:textId="77777777" w:rsidR="00F44A76" w:rsidRDefault="00F44A76">
      <w:pPr>
        <w:rPr>
          <w:sz w:val="24"/>
          <w:szCs w:val="24"/>
          <w:highlight w:val="yellow"/>
        </w:rPr>
      </w:pPr>
    </w:p>
    <w:p w14:paraId="00FBB740" w14:textId="77777777" w:rsidR="007B5141" w:rsidRDefault="00000000">
      <w:pPr>
        <w:tabs>
          <w:tab w:val="left" w:pos="960"/>
        </w:tabs>
        <w:ind w:firstLine="0"/>
        <w:outlineLvl w:val="1"/>
        <w:rPr>
          <w:b/>
          <w:sz w:val="24"/>
          <w:szCs w:val="24"/>
        </w:rPr>
      </w:pPr>
      <w:bookmarkStart w:id="19" w:name="_Toc165645816"/>
      <w:r>
        <w:rPr>
          <w:b/>
          <w:sz w:val="24"/>
          <w:szCs w:val="24"/>
        </w:rPr>
        <w:lastRenderedPageBreak/>
        <w:t>4.4</w:t>
      </w:r>
      <w:r>
        <w:rPr>
          <w:b/>
          <w:sz w:val="24"/>
          <w:szCs w:val="24"/>
        </w:rPr>
        <w:tab/>
        <w:t>Análise da amostra</w:t>
      </w:r>
      <w:bookmarkEnd w:id="19"/>
    </w:p>
    <w:p w14:paraId="53B1BF35" w14:textId="0D689BE5" w:rsidR="007B5141" w:rsidRDefault="00000000">
      <w:pPr>
        <w:rPr>
          <w:sz w:val="24"/>
          <w:szCs w:val="24"/>
        </w:rPr>
      </w:pPr>
      <w:r>
        <w:rPr>
          <w:sz w:val="24"/>
          <w:szCs w:val="24"/>
        </w:rPr>
        <w:t xml:space="preserve"> </w:t>
      </w:r>
      <w:r w:rsidR="007907C1">
        <w:rPr>
          <w:sz w:val="24"/>
          <w:szCs w:val="24"/>
        </w:rPr>
        <w:t xml:space="preserve">Após a chegada ao laboratório, não deve ser </w:t>
      </w:r>
      <w:r>
        <w:rPr>
          <w:sz w:val="24"/>
          <w:szCs w:val="24"/>
        </w:rPr>
        <w:t>permitida a adição de qualquer substância (estabilizantes, preservantes ou outros) ou adulterante à amostra de sangue primária. As amostras devem estar em temperatura ambiente quando forem manuseadas para execução do exame.</w:t>
      </w:r>
    </w:p>
    <w:p w14:paraId="65012D7E" w14:textId="77777777" w:rsidR="007B5141" w:rsidRDefault="00000000">
      <w:pPr>
        <w:rPr>
          <w:sz w:val="24"/>
          <w:szCs w:val="24"/>
        </w:rPr>
      </w:pPr>
      <w:r>
        <w:rPr>
          <w:sz w:val="24"/>
          <w:szCs w:val="24"/>
        </w:rPr>
        <w:t>Diversos procedimentos de extração estão bem descritos na literatura, dentre os quais podemos citar as técnicas de extração em fase líquida, extração em fase sólida, precipitação de proteínas e outros. Essas técnicas podem ser utilizadas na rotina laboratorial, desde que devidamente validados previamente por cada serviço. Procedimentos de derivatização do extrato obtido podem ainda ser utilizados, a depender da técnica analítica adotada.</w:t>
      </w:r>
    </w:p>
    <w:p w14:paraId="793B2CE3" w14:textId="77777777" w:rsidR="007B5141" w:rsidRDefault="007B5141">
      <w:pPr>
        <w:rPr>
          <w:sz w:val="24"/>
          <w:szCs w:val="24"/>
        </w:rPr>
      </w:pPr>
    </w:p>
    <w:p w14:paraId="72330E55" w14:textId="77777777" w:rsidR="007B5141" w:rsidRPr="007907C1" w:rsidRDefault="00000000">
      <w:pPr>
        <w:pStyle w:val="PargrafodaLista"/>
        <w:numPr>
          <w:ilvl w:val="1"/>
          <w:numId w:val="7"/>
        </w:numPr>
        <w:tabs>
          <w:tab w:val="left" w:pos="960"/>
        </w:tabs>
        <w:ind w:left="567" w:hanging="567"/>
        <w:outlineLvl w:val="1"/>
        <w:rPr>
          <w:b/>
          <w:sz w:val="24"/>
          <w:szCs w:val="24"/>
        </w:rPr>
      </w:pPr>
      <w:bookmarkStart w:id="20" w:name="_heading=h.17dp8vu"/>
      <w:bookmarkStart w:id="21" w:name="_Toc165645817"/>
      <w:bookmarkEnd w:id="20"/>
      <w:r w:rsidRPr="007907C1">
        <w:rPr>
          <w:b/>
          <w:sz w:val="24"/>
          <w:szCs w:val="24"/>
        </w:rPr>
        <w:t>Validação analítica e controle de qualidade</w:t>
      </w:r>
      <w:bookmarkEnd w:id="21"/>
    </w:p>
    <w:p w14:paraId="2BB9CC90" w14:textId="77777777" w:rsidR="007B5141" w:rsidRPr="007907C1" w:rsidRDefault="00000000">
      <w:pPr>
        <w:rPr>
          <w:sz w:val="24"/>
          <w:szCs w:val="24"/>
        </w:rPr>
      </w:pPr>
      <w:r w:rsidRPr="007907C1">
        <w:rPr>
          <w:sz w:val="24"/>
          <w:szCs w:val="24"/>
        </w:rPr>
        <w:t xml:space="preserve">Os métodos utilizados para exame toxicológico em investigações de ocorrências de trânsito devem obrigatoriamente ser validados. Sugere-se a utilização das recomendações publicadas pela </w:t>
      </w:r>
      <w:r w:rsidRPr="007907C1">
        <w:rPr>
          <w:i/>
          <w:iCs/>
          <w:sz w:val="24"/>
          <w:szCs w:val="24"/>
        </w:rPr>
        <w:t>American Academy of Forensic Sciences</w:t>
      </w:r>
      <w:r w:rsidRPr="007907C1">
        <w:rPr>
          <w:rStyle w:val="Refdenotaderodap"/>
          <w:i/>
          <w:iCs/>
          <w:sz w:val="24"/>
          <w:szCs w:val="24"/>
        </w:rPr>
        <w:footnoteReference w:id="1"/>
      </w:r>
      <w:r w:rsidRPr="007907C1">
        <w:rPr>
          <w:sz w:val="24"/>
          <w:szCs w:val="24"/>
        </w:rPr>
        <w:t xml:space="preserve"> ou pelo </w:t>
      </w:r>
      <w:r w:rsidRPr="007907C1">
        <w:rPr>
          <w:i/>
          <w:iCs/>
          <w:sz w:val="24"/>
          <w:szCs w:val="24"/>
        </w:rPr>
        <w:t>United Nations Office on Drugs and Crime</w:t>
      </w:r>
      <w:r w:rsidRPr="007907C1">
        <w:rPr>
          <w:rStyle w:val="Refdenotaderodap"/>
          <w:i/>
          <w:iCs/>
          <w:sz w:val="24"/>
          <w:szCs w:val="24"/>
        </w:rPr>
        <w:footnoteReference w:id="2"/>
      </w:r>
      <w:r w:rsidRPr="007907C1">
        <w:rPr>
          <w:i/>
          <w:iCs/>
          <w:sz w:val="24"/>
          <w:szCs w:val="24"/>
        </w:rPr>
        <w:t>.</w:t>
      </w:r>
    </w:p>
    <w:p w14:paraId="11E9898E" w14:textId="77777777" w:rsidR="007B5141" w:rsidRPr="007907C1" w:rsidRDefault="00000000">
      <w:pPr>
        <w:rPr>
          <w:sz w:val="24"/>
          <w:szCs w:val="24"/>
        </w:rPr>
      </w:pPr>
      <w:r w:rsidRPr="007907C1">
        <w:rPr>
          <w:sz w:val="24"/>
          <w:szCs w:val="24"/>
        </w:rPr>
        <w:t xml:space="preserve">O controle de qualidade laboratorial deve ser demonstrado pela análise de rotina de controles negativos e positivos de cada analito alvo no nível de concentração da sensibilidade analítica presente na Tabela 1. </w:t>
      </w:r>
    </w:p>
    <w:p w14:paraId="474ECCE0" w14:textId="2114E8C2" w:rsidR="007B5141" w:rsidRPr="007907C1" w:rsidRDefault="00000000">
      <w:pPr>
        <w:rPr>
          <w:sz w:val="24"/>
          <w:szCs w:val="24"/>
        </w:rPr>
      </w:pPr>
      <w:r w:rsidRPr="007907C1">
        <w:rPr>
          <w:sz w:val="24"/>
          <w:szCs w:val="24"/>
        </w:rPr>
        <w:t xml:space="preserve">Os controles e os calibradores podem ser preparados no laboratório de forma independente. </w:t>
      </w:r>
      <w:r w:rsidR="00C24BAF" w:rsidRPr="007907C1">
        <w:rPr>
          <w:sz w:val="24"/>
          <w:szCs w:val="24"/>
        </w:rPr>
        <w:t>O laboratório deve u</w:t>
      </w:r>
      <w:r w:rsidRPr="007907C1">
        <w:rPr>
          <w:sz w:val="24"/>
          <w:szCs w:val="24"/>
        </w:rPr>
        <w:t>tiliz</w:t>
      </w:r>
      <w:r w:rsidR="00C24BAF" w:rsidRPr="007907C1">
        <w:rPr>
          <w:sz w:val="24"/>
          <w:szCs w:val="24"/>
        </w:rPr>
        <w:t>ar</w:t>
      </w:r>
      <w:r w:rsidRPr="007907C1">
        <w:rPr>
          <w:sz w:val="24"/>
          <w:szCs w:val="24"/>
        </w:rPr>
        <w:t xml:space="preserve"> soluções preparadas a partir de padrões analíticos certificados e rastreáveis.</w:t>
      </w:r>
    </w:p>
    <w:p w14:paraId="3516815F" w14:textId="77777777" w:rsidR="007B5141" w:rsidRDefault="00000000">
      <w:pPr>
        <w:rPr>
          <w:sz w:val="24"/>
          <w:szCs w:val="24"/>
        </w:rPr>
      </w:pPr>
      <w:r w:rsidRPr="00BA2278">
        <w:rPr>
          <w:sz w:val="24"/>
          <w:szCs w:val="24"/>
        </w:rPr>
        <w:t>Em cada sequência analítica, ao menos um controle de qualidade positivo (sensibilidade analítica da Tabela 1) e o controle negativo devem ser analisados a cada 20 injeções.</w:t>
      </w:r>
      <w:r>
        <w:rPr>
          <w:sz w:val="24"/>
          <w:szCs w:val="24"/>
        </w:rPr>
        <w:t xml:space="preserve"> Os resultados das amostras só poderão ser considerados válidos se pelo menos 2/3 dos controles </w:t>
      </w:r>
      <w:r>
        <w:rPr>
          <w:sz w:val="24"/>
          <w:szCs w:val="24"/>
        </w:rPr>
        <w:lastRenderedPageBreak/>
        <w:t>(negativos e positivos) apresentarem resultados dentro dos critérios de identificação determinados pelo item 4.3 e observados durante a validação do método. Se a regra não for cumprida, a sequência analítica deverá ser rejeitada, medidas corretivas deverão ser adotadas e as amostras daquela sequência analítica deverão ser oportunamente reanalisadas, considerando individualmente os analitos que porventura não cumpriram o requisito.</w:t>
      </w:r>
    </w:p>
    <w:p w14:paraId="3B6DE4BE" w14:textId="77777777" w:rsidR="007B5141" w:rsidRDefault="00000000">
      <w:pPr>
        <w:rPr>
          <w:sz w:val="24"/>
          <w:szCs w:val="24"/>
        </w:rPr>
      </w:pPr>
      <w:r>
        <w:rPr>
          <w:sz w:val="24"/>
          <w:szCs w:val="24"/>
        </w:rPr>
        <w:t xml:space="preserve">Os resultados obtidos na análise das amostras controle, mencionados no parágrafo anterior, devem ser validados por analito individualmente e documentados. </w:t>
      </w:r>
    </w:p>
    <w:p w14:paraId="01ED0E97" w14:textId="1A819314" w:rsidR="007B5141" w:rsidRDefault="00000000">
      <w:pPr>
        <w:rPr>
          <w:sz w:val="24"/>
          <w:szCs w:val="24"/>
        </w:rPr>
      </w:pPr>
      <w:r>
        <w:rPr>
          <w:sz w:val="24"/>
          <w:szCs w:val="24"/>
        </w:rPr>
        <w:t>É recomendável ainda que o laboratório participe periodicamente de ensaios de proficiência interlaboratorial (controle de qualidade externo) que contemplem exame toxicológico em sangue de investigação de trânsito. As amostras provenientes de testes de proficiência devem ser analisadas da mesma maneira que as amostras de rotina do laboratório.</w:t>
      </w:r>
    </w:p>
    <w:p w14:paraId="77F41BD6" w14:textId="6ADCDC12" w:rsidR="007907C1" w:rsidRDefault="007907C1">
      <w:pPr>
        <w:rPr>
          <w:sz w:val="24"/>
          <w:szCs w:val="24"/>
        </w:rPr>
      </w:pPr>
    </w:p>
    <w:p w14:paraId="35F39E25" w14:textId="77777777" w:rsidR="007907C1" w:rsidRDefault="007907C1">
      <w:pPr>
        <w:rPr>
          <w:sz w:val="24"/>
          <w:szCs w:val="24"/>
        </w:rPr>
      </w:pPr>
    </w:p>
    <w:p w14:paraId="7E5567DB" w14:textId="77777777" w:rsidR="007B5141" w:rsidRDefault="00000000">
      <w:pPr>
        <w:pStyle w:val="PargrafodaLista"/>
        <w:numPr>
          <w:ilvl w:val="1"/>
          <w:numId w:val="7"/>
        </w:numPr>
        <w:tabs>
          <w:tab w:val="left" w:pos="960"/>
        </w:tabs>
        <w:ind w:left="567" w:hanging="567"/>
        <w:outlineLvl w:val="1"/>
        <w:rPr>
          <w:b/>
          <w:sz w:val="24"/>
          <w:szCs w:val="24"/>
        </w:rPr>
      </w:pPr>
      <w:bookmarkStart w:id="22" w:name="_heading=h.3znysh7"/>
      <w:bookmarkStart w:id="23" w:name="_Toc165645818"/>
      <w:bookmarkEnd w:id="22"/>
      <w:r>
        <w:rPr>
          <w:b/>
          <w:sz w:val="24"/>
          <w:szCs w:val="24"/>
        </w:rPr>
        <w:t>Apresentação do resultado</w:t>
      </w:r>
      <w:bookmarkEnd w:id="23"/>
    </w:p>
    <w:p w14:paraId="2D7E34D3" w14:textId="77777777" w:rsidR="007B5141" w:rsidRDefault="00000000">
      <w:pPr>
        <w:rPr>
          <w:sz w:val="24"/>
          <w:szCs w:val="24"/>
        </w:rPr>
      </w:pPr>
      <w:r>
        <w:rPr>
          <w:sz w:val="24"/>
          <w:szCs w:val="24"/>
        </w:rPr>
        <w:t>Recomenda-se que o resultado do exame toxicológico de investigação de trânsito deve ser expresso como:</w:t>
      </w:r>
    </w:p>
    <w:p w14:paraId="5DBD3B39" w14:textId="77777777" w:rsidR="007B5141" w:rsidRDefault="00000000">
      <w:pPr>
        <w:numPr>
          <w:ilvl w:val="0"/>
          <w:numId w:val="2"/>
        </w:numPr>
        <w:spacing w:after="0"/>
        <w:ind w:left="993"/>
        <w:rPr>
          <w:sz w:val="24"/>
          <w:szCs w:val="24"/>
        </w:rPr>
      </w:pPr>
      <w:r>
        <w:rPr>
          <w:sz w:val="24"/>
          <w:szCs w:val="24"/>
        </w:rPr>
        <w:t>NÃO DETECTADO quando houver ausência de picos no tempo de retenção esperado, ou presença de picos com abundância relativa dos íons diagnósticos diferente do esperado, ou resultado abaixo do valor de sensibilidade analítica da Tabela 1.</w:t>
      </w:r>
    </w:p>
    <w:p w14:paraId="3F95D8DE" w14:textId="77777777" w:rsidR="007B5141" w:rsidRDefault="00000000">
      <w:pPr>
        <w:numPr>
          <w:ilvl w:val="0"/>
          <w:numId w:val="2"/>
        </w:numPr>
        <w:ind w:left="993"/>
        <w:rPr>
          <w:sz w:val="24"/>
          <w:szCs w:val="24"/>
        </w:rPr>
      </w:pPr>
      <w:r>
        <w:rPr>
          <w:sz w:val="24"/>
          <w:szCs w:val="24"/>
        </w:rPr>
        <w:t>DETECTADO: cumpridos os critérios de identificação determinados pelo item 4.3.</w:t>
      </w:r>
    </w:p>
    <w:p w14:paraId="72AD8A59" w14:textId="77777777" w:rsidR="007B5141" w:rsidRDefault="00000000">
      <w:pPr>
        <w:rPr>
          <w:sz w:val="24"/>
          <w:szCs w:val="24"/>
        </w:rPr>
      </w:pPr>
      <w:r>
        <w:rPr>
          <w:sz w:val="24"/>
          <w:szCs w:val="24"/>
        </w:rPr>
        <w:t xml:space="preserve">Na conclusão do resultado supracitado, é recomendável a redação da seguinte forma: </w:t>
      </w:r>
    </w:p>
    <w:p w14:paraId="06A16009" w14:textId="77777777" w:rsidR="007B5141" w:rsidRDefault="00000000">
      <w:pPr>
        <w:rPr>
          <w:sz w:val="24"/>
          <w:szCs w:val="24"/>
        </w:rPr>
      </w:pPr>
      <w:r>
        <w:rPr>
          <w:sz w:val="24"/>
          <w:szCs w:val="24"/>
        </w:rPr>
        <w:t>“As análises realizadas detectaram a presença da substância X em concentração superior a x ng/mL. As demais substâncias pesquisadas não foram detectadas na amostra.”</w:t>
      </w:r>
    </w:p>
    <w:p w14:paraId="77EDFBBA" w14:textId="77777777" w:rsidR="007B5141" w:rsidRDefault="00000000">
      <w:pPr>
        <w:rPr>
          <w:sz w:val="24"/>
          <w:szCs w:val="24"/>
        </w:rPr>
      </w:pPr>
      <w:r>
        <w:rPr>
          <w:sz w:val="24"/>
          <w:szCs w:val="24"/>
        </w:rPr>
        <w:t>Caso nenhuma das substâncias investigadas seja detectada na amostra analisada, a conclusão pode ser escrita como:</w:t>
      </w:r>
    </w:p>
    <w:p w14:paraId="7FDF1331" w14:textId="77777777" w:rsidR="007B5141" w:rsidRDefault="00000000">
      <w:pPr>
        <w:rPr>
          <w:sz w:val="24"/>
          <w:szCs w:val="24"/>
        </w:rPr>
      </w:pPr>
      <w:r>
        <w:rPr>
          <w:sz w:val="24"/>
          <w:szCs w:val="24"/>
        </w:rPr>
        <w:t>“As análises realizadas não detectaram a presença de substâncias X, Y e Z na amostra.”</w:t>
      </w:r>
    </w:p>
    <w:p w14:paraId="2BF02C1F" w14:textId="77777777" w:rsidR="007B5141" w:rsidRDefault="00000000">
      <w:pPr>
        <w:rPr>
          <w:sz w:val="24"/>
          <w:szCs w:val="24"/>
        </w:rPr>
      </w:pPr>
      <w:r>
        <w:rPr>
          <w:sz w:val="24"/>
          <w:szCs w:val="24"/>
        </w:rPr>
        <w:lastRenderedPageBreak/>
        <w:t>Os cromatogramas, requisições de exame, anotações e qualquer informação necessária para a correta interpretação do exame devem ser mantidos até o trânsito julgado do processo. O armazenamento destas informações pode ser feito em formato digital.</w:t>
      </w:r>
    </w:p>
    <w:p w14:paraId="37D97BB3" w14:textId="77777777" w:rsidR="007B5141" w:rsidRDefault="007B5141">
      <w:pPr>
        <w:rPr>
          <w:sz w:val="24"/>
          <w:szCs w:val="24"/>
          <w:highlight w:val="yellow"/>
        </w:rPr>
      </w:pPr>
    </w:p>
    <w:p w14:paraId="2D6B6516" w14:textId="77777777" w:rsidR="007B5141" w:rsidRDefault="00000000">
      <w:pPr>
        <w:pStyle w:val="Ttulo1"/>
        <w:rPr>
          <w:color w:val="000000"/>
          <w:sz w:val="24"/>
          <w:szCs w:val="24"/>
        </w:rPr>
      </w:pPr>
      <w:bookmarkStart w:id="24" w:name="_heading=h.26in1rg"/>
      <w:bookmarkStart w:id="25" w:name="_Toc165645819"/>
      <w:bookmarkEnd w:id="24"/>
      <w:r>
        <w:rPr>
          <w:color w:val="000000"/>
          <w:sz w:val="24"/>
          <w:szCs w:val="24"/>
        </w:rPr>
        <w:t>REFERÊNCIAS</w:t>
      </w:r>
      <w:bookmarkEnd w:id="25"/>
    </w:p>
    <w:p w14:paraId="0C11B56B" w14:textId="77777777" w:rsidR="007B5141" w:rsidRDefault="00000000">
      <w:pPr>
        <w:spacing w:after="240"/>
        <w:ind w:firstLine="0"/>
        <w:rPr>
          <w:sz w:val="24"/>
          <w:szCs w:val="24"/>
          <w:lang w:val="en-US"/>
        </w:rPr>
      </w:pPr>
      <w:r>
        <w:rPr>
          <w:sz w:val="24"/>
          <w:szCs w:val="24"/>
        </w:rPr>
        <w:t xml:space="preserve">CONSELHO NACIONAL DE TRÂNSITO (CONTRAN). Resolução Nº 432, de 23 de janeiro de 2013. Polícia Rodoviária Federal. Disponível em: </w:t>
      </w:r>
      <w:hyperlink r:id="rId9" w:tgtFrame="_new">
        <w:r>
          <w:rPr>
            <w:rStyle w:val="Hyperlink"/>
            <w:sz w:val="24"/>
            <w:szCs w:val="24"/>
          </w:rPr>
          <w:t>https://www.gov.br/prf/pt-br/concurso-2021/resolucoes/R432-13</w:t>
        </w:r>
      </w:hyperlink>
      <w:r>
        <w:rPr>
          <w:sz w:val="24"/>
          <w:szCs w:val="24"/>
        </w:rPr>
        <w:t>. Acesso em: Acesso em: 24 de abril de 2024.</w:t>
      </w:r>
    </w:p>
    <w:p w14:paraId="1E6974BC" w14:textId="77777777" w:rsidR="007B5141" w:rsidRDefault="00000000">
      <w:pPr>
        <w:spacing w:after="240"/>
        <w:ind w:firstLine="0"/>
        <w:rPr>
          <w:sz w:val="24"/>
          <w:szCs w:val="24"/>
        </w:rPr>
      </w:pPr>
      <w:r>
        <w:rPr>
          <w:sz w:val="24"/>
          <w:szCs w:val="24"/>
          <w:lang w:val="en-US"/>
        </w:rPr>
        <w:t xml:space="preserve">ANSI/ASB. Standard for the Analytical Scope and Sensitivity of Forensic Toxicological Testing of Blood in Impaired Driving Investigations. 2021. American Academy of Forensic Sciences. </w:t>
      </w:r>
      <w:r>
        <w:rPr>
          <w:sz w:val="24"/>
          <w:szCs w:val="24"/>
        </w:rPr>
        <w:t xml:space="preserve">Disponível em: </w:t>
      </w:r>
      <w:hyperlink r:id="rId10">
        <w:r>
          <w:rPr>
            <w:rStyle w:val="Hyperlink"/>
            <w:sz w:val="24"/>
            <w:szCs w:val="24"/>
          </w:rPr>
          <w:t>https://www.aafs.org/asb-standard/standard-analytical-scope-and-sensitivity-forensic-toxicological-testing-blood</w:t>
        </w:r>
      </w:hyperlink>
      <w:r>
        <w:rPr>
          <w:sz w:val="24"/>
          <w:szCs w:val="24"/>
        </w:rPr>
        <w:t>. Acesso em: 24 de abril de 2024.</w:t>
      </w:r>
    </w:p>
    <w:p w14:paraId="4EAFFFE0" w14:textId="77777777" w:rsidR="007B5141" w:rsidRDefault="00000000">
      <w:pPr>
        <w:spacing w:after="240"/>
        <w:ind w:firstLine="0"/>
        <w:rPr>
          <w:sz w:val="24"/>
          <w:szCs w:val="24"/>
          <w:lang w:val="en-US"/>
        </w:rPr>
      </w:pPr>
      <w:r>
        <w:rPr>
          <w:sz w:val="24"/>
          <w:szCs w:val="24"/>
        </w:rPr>
        <w:t xml:space="preserve">D'ORAZIO, A. L. et al. </w:t>
      </w:r>
      <w:r>
        <w:rPr>
          <w:sz w:val="24"/>
          <w:szCs w:val="24"/>
          <w:lang w:val="en-US"/>
        </w:rPr>
        <w:t xml:space="preserve">Recommendations for Toxicological Investigation of Drug-Impaired Driving and Motor Vehicle Fatalities—2021 Update. </w:t>
      </w:r>
      <w:r>
        <w:rPr>
          <w:i/>
          <w:iCs/>
          <w:sz w:val="24"/>
          <w:szCs w:val="24"/>
          <w:lang w:val="en-US"/>
        </w:rPr>
        <w:t>Journal of Analytical Toxicology</w:t>
      </w:r>
      <w:r>
        <w:rPr>
          <w:sz w:val="24"/>
          <w:szCs w:val="24"/>
          <w:lang w:val="en-US"/>
        </w:rPr>
        <w:t>, v. 45, p. 529-536, 2021. doi: 10.1093/jat/bkab064.</w:t>
      </w:r>
    </w:p>
    <w:p w14:paraId="50F81B53" w14:textId="77777777" w:rsidR="007B5141" w:rsidRDefault="00000000">
      <w:pPr>
        <w:spacing w:after="240"/>
        <w:ind w:firstLine="0"/>
        <w:rPr>
          <w:sz w:val="24"/>
          <w:szCs w:val="24"/>
        </w:rPr>
      </w:pPr>
      <w:r>
        <w:rPr>
          <w:sz w:val="24"/>
          <w:szCs w:val="24"/>
          <w:lang w:val="en-US"/>
        </w:rPr>
        <w:t xml:space="preserve">ANSI/ASB. Standard for Identification Criteria in Forensic Toxicology. 1. ed. Colorado Springs, CO: AAFS Standards Board, LLC, 2023. </w:t>
      </w:r>
      <w:r>
        <w:rPr>
          <w:sz w:val="24"/>
          <w:szCs w:val="24"/>
        </w:rPr>
        <w:t xml:space="preserve">Disponível em: </w:t>
      </w:r>
      <w:hyperlink r:id="rId11">
        <w:r>
          <w:rPr>
            <w:rStyle w:val="Hyperlink"/>
            <w:sz w:val="24"/>
            <w:szCs w:val="24"/>
          </w:rPr>
          <w:t>www.aafs.org/academy-standards-board</w:t>
        </w:r>
      </w:hyperlink>
      <w:r>
        <w:rPr>
          <w:sz w:val="24"/>
          <w:szCs w:val="24"/>
        </w:rPr>
        <w:t>. Acesso em: 24 de abril de 2024.</w:t>
      </w:r>
    </w:p>
    <w:p w14:paraId="593D2F05" w14:textId="77777777" w:rsidR="007B5141" w:rsidRDefault="00000000">
      <w:pPr>
        <w:spacing w:after="240"/>
        <w:ind w:firstLine="0"/>
        <w:rPr>
          <w:sz w:val="24"/>
          <w:szCs w:val="24"/>
        </w:rPr>
      </w:pPr>
      <w:r>
        <w:rPr>
          <w:sz w:val="24"/>
          <w:szCs w:val="24"/>
          <w:lang w:val="en-US"/>
        </w:rPr>
        <w:t xml:space="preserve">ANSI/ASB. Standard for Mass Spectral Analysis in Forensic Toxicology. </w:t>
      </w:r>
      <w:r>
        <w:rPr>
          <w:sz w:val="24"/>
          <w:szCs w:val="24"/>
        </w:rPr>
        <w:t xml:space="preserve">2023. American Academy of Forensic Sciences. Disponível em: </w:t>
      </w:r>
      <w:hyperlink r:id="rId12">
        <w:r>
          <w:rPr>
            <w:rStyle w:val="Hyperlink"/>
            <w:sz w:val="24"/>
            <w:szCs w:val="24"/>
          </w:rPr>
          <w:t>https://www.aafs.org/asb-standard/standard-mass-spectral-analysis-forensic-toxicology</w:t>
        </w:r>
      </w:hyperlink>
      <w:r>
        <w:rPr>
          <w:sz w:val="24"/>
          <w:szCs w:val="24"/>
        </w:rPr>
        <w:t>. Acesso em: 24 de abril de 2024.</w:t>
      </w:r>
    </w:p>
    <w:p w14:paraId="1B41B3ED" w14:textId="77777777" w:rsidR="007B5141" w:rsidRDefault="00000000">
      <w:pPr>
        <w:spacing w:after="240"/>
        <w:ind w:firstLine="0"/>
        <w:rPr>
          <w:sz w:val="24"/>
          <w:szCs w:val="24"/>
          <w:lang w:val="en-US"/>
        </w:rPr>
      </w:pPr>
      <w:r>
        <w:rPr>
          <w:sz w:val="24"/>
          <w:szCs w:val="24"/>
          <w:lang w:val="en-US"/>
        </w:rPr>
        <w:t xml:space="preserve">ANSI/ASB. </w:t>
      </w:r>
      <w:r>
        <w:rPr>
          <w:i/>
          <w:iCs/>
          <w:sz w:val="24"/>
          <w:szCs w:val="24"/>
          <w:lang w:val="en-US"/>
        </w:rPr>
        <w:t>Standard Practices for Method Validation in Forensic Toxicology</w:t>
      </w:r>
      <w:r>
        <w:rPr>
          <w:sz w:val="24"/>
          <w:szCs w:val="24"/>
          <w:lang w:val="en-US"/>
        </w:rPr>
        <w:t xml:space="preserve">. </w:t>
      </w:r>
      <w:r>
        <w:rPr>
          <w:sz w:val="24"/>
          <w:szCs w:val="24"/>
        </w:rPr>
        <w:t xml:space="preserve">2019. American Academy of Forensic Sciences. Disponível em: </w:t>
      </w:r>
      <w:hyperlink r:id="rId13" w:tgtFrame="_new">
        <w:r>
          <w:rPr>
            <w:rStyle w:val="Hyperlink"/>
            <w:sz w:val="24"/>
            <w:szCs w:val="24"/>
          </w:rPr>
          <w:t>https://www.aafs.org/asb-standard/standard-practices-method-validation-forensic-toxicology</w:t>
        </w:r>
      </w:hyperlink>
      <w:r>
        <w:rPr>
          <w:sz w:val="24"/>
          <w:szCs w:val="24"/>
        </w:rPr>
        <w:t xml:space="preserve">. </w:t>
      </w:r>
      <w:r>
        <w:rPr>
          <w:sz w:val="24"/>
          <w:szCs w:val="24"/>
          <w:lang w:val="en-US"/>
        </w:rPr>
        <w:t>Acesso em: 24 de abril de 2024.</w:t>
      </w:r>
    </w:p>
    <w:p w14:paraId="42A04E29" w14:textId="77777777" w:rsidR="007B5141" w:rsidRDefault="00000000">
      <w:pPr>
        <w:spacing w:after="240"/>
        <w:ind w:firstLine="0"/>
        <w:rPr>
          <w:sz w:val="24"/>
          <w:szCs w:val="24"/>
          <w:lang w:val="en-US"/>
        </w:rPr>
      </w:pPr>
      <w:r>
        <w:rPr>
          <w:sz w:val="24"/>
          <w:szCs w:val="24"/>
          <w:lang w:val="en-US"/>
        </w:rPr>
        <w:t xml:space="preserve">UNITED NATIONS OFFICE ON DRUGS AND CRIME. </w:t>
      </w:r>
      <w:r>
        <w:rPr>
          <w:i/>
          <w:iCs/>
          <w:sz w:val="24"/>
          <w:szCs w:val="24"/>
          <w:lang w:val="en-US"/>
        </w:rPr>
        <w:t>Guidance for the Validation of Analytical Methodology and Calibration of Equipment</w:t>
      </w:r>
      <w:r>
        <w:rPr>
          <w:sz w:val="24"/>
          <w:szCs w:val="24"/>
          <w:lang w:val="en-US"/>
        </w:rPr>
        <w:t xml:space="preserve">. </w:t>
      </w:r>
      <w:r>
        <w:rPr>
          <w:sz w:val="24"/>
          <w:szCs w:val="24"/>
        </w:rPr>
        <w:t xml:space="preserve">2009. Disponível em: </w:t>
      </w:r>
      <w:hyperlink r:id="rId14" w:tgtFrame="_new">
        <w:r>
          <w:rPr>
            <w:rStyle w:val="Hyperlink"/>
            <w:sz w:val="24"/>
            <w:szCs w:val="24"/>
          </w:rPr>
          <w:t>https://www.unodc.org/unodc/en/scientists/guidance-for-the-validation-of-analytical-methodology-and-calibration-of-equipment.html</w:t>
        </w:r>
      </w:hyperlink>
      <w:r>
        <w:rPr>
          <w:sz w:val="24"/>
          <w:szCs w:val="24"/>
        </w:rPr>
        <w:t xml:space="preserve">. </w:t>
      </w:r>
      <w:r>
        <w:rPr>
          <w:sz w:val="24"/>
          <w:szCs w:val="24"/>
          <w:lang w:val="en-US"/>
        </w:rPr>
        <w:t>Acesso em: 24 de abril de 2024.</w:t>
      </w:r>
    </w:p>
    <w:p w14:paraId="1AE3442D" w14:textId="77777777" w:rsidR="007B5141" w:rsidRDefault="007B5141">
      <w:pPr>
        <w:spacing w:after="240"/>
        <w:ind w:firstLine="0"/>
        <w:rPr>
          <w:sz w:val="24"/>
          <w:szCs w:val="24"/>
          <w:highlight w:val="yellow"/>
        </w:rPr>
      </w:pPr>
    </w:p>
    <w:sectPr w:rsidR="007B5141" w:rsidSect="00F4012F">
      <w:headerReference w:type="even" r:id="rId15"/>
      <w:headerReference w:type="default" r:id="rId16"/>
      <w:footerReference w:type="even" r:id="rId17"/>
      <w:footerReference w:type="default" r:id="rId18"/>
      <w:headerReference w:type="first" r:id="rId19"/>
      <w:footerReference w:type="first" r:id="rId20"/>
      <w:pgSz w:w="11906" w:h="16838"/>
      <w:pgMar w:top="1418" w:right="1134" w:bottom="1134" w:left="1418" w:header="0" w:footer="28" w:gutter="0"/>
      <w:lnNumType w:countBy="1" w:restart="continuous"/>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7E7C" w14:textId="77777777" w:rsidR="00DD0482" w:rsidRDefault="00DD0482">
      <w:pPr>
        <w:spacing w:after="0" w:line="240" w:lineRule="auto"/>
      </w:pPr>
      <w:r>
        <w:separator/>
      </w:r>
    </w:p>
  </w:endnote>
  <w:endnote w:type="continuationSeparator" w:id="0">
    <w:p w14:paraId="4560484B" w14:textId="77777777" w:rsidR="00DD0482" w:rsidRDefault="00DD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EE88" w14:textId="77777777" w:rsidR="007B5141" w:rsidRDefault="007B5141">
    <w:pP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AD90" w14:textId="77777777" w:rsidR="007B5141" w:rsidRDefault="00000000">
    <w:pPr>
      <w:tabs>
        <w:tab w:val="center" w:pos="4419"/>
        <w:tab w:val="right" w:pos="8838"/>
      </w:tabs>
      <w:spacing w:after="0" w:line="240" w:lineRule="auto"/>
      <w:jc w:val="right"/>
      <w:rPr>
        <w:color w:val="000000"/>
      </w:rPr>
    </w:pPr>
    <w:r>
      <w:rPr>
        <w:color w:val="000000"/>
      </w:rPr>
      <w:t xml:space="preserve">Página </w:t>
    </w:r>
    <w:r>
      <w:rPr>
        <w:color w:val="000000"/>
      </w:rPr>
      <w:fldChar w:fldCharType="begin"/>
    </w:r>
    <w:r>
      <w:rPr>
        <w:color w:val="000000"/>
      </w:rPr>
      <w:instrText xml:space="preserve"> PAGE </w:instrText>
    </w:r>
    <w:r>
      <w:rPr>
        <w:color w:val="000000"/>
      </w:rPr>
      <w:fldChar w:fldCharType="separate"/>
    </w:r>
    <w:r>
      <w:rPr>
        <w:color w:val="000000"/>
      </w:rPr>
      <w:t>17</w:t>
    </w:r>
    <w:r>
      <w:rPr>
        <w:color w:val="000000"/>
      </w:rPr>
      <w:fldChar w:fldCharType="end"/>
    </w:r>
    <w:r>
      <w:rPr>
        <w:color w:val="000000"/>
      </w:rPr>
      <w:t xml:space="preserve"> de </w:t>
    </w:r>
    <w:r>
      <w:rPr>
        <w:color w:val="000000"/>
      </w:rPr>
      <w:fldChar w:fldCharType="begin"/>
    </w:r>
    <w:r>
      <w:rPr>
        <w:color w:val="000000"/>
      </w:rPr>
      <w:instrText xml:space="preserve"> NUMPAGES </w:instrText>
    </w:r>
    <w:r>
      <w:rPr>
        <w:color w:val="000000"/>
      </w:rPr>
      <w:fldChar w:fldCharType="separate"/>
    </w:r>
    <w:r>
      <w:rPr>
        <w:color w:val="000000"/>
      </w:rPr>
      <w:t>17</w:t>
    </w:r>
    <w:r>
      <w:rPr>
        <w:color w:val="000000"/>
      </w:rPr>
      <w:fldChar w:fldCharType="end"/>
    </w:r>
  </w:p>
  <w:p w14:paraId="1DB743B5" w14:textId="77777777" w:rsidR="007B5141" w:rsidRDefault="007B5141">
    <w:pP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9C3E" w14:textId="77777777" w:rsidR="007B5141" w:rsidRDefault="007B5141">
    <w:pP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3F186" w14:textId="77777777" w:rsidR="00DD0482" w:rsidRDefault="00DD0482">
      <w:pPr>
        <w:rPr>
          <w:sz w:val="12"/>
        </w:rPr>
      </w:pPr>
      <w:r>
        <w:separator/>
      </w:r>
    </w:p>
  </w:footnote>
  <w:footnote w:type="continuationSeparator" w:id="0">
    <w:p w14:paraId="512EF599" w14:textId="77777777" w:rsidR="00DD0482" w:rsidRDefault="00DD0482">
      <w:pPr>
        <w:rPr>
          <w:sz w:val="12"/>
        </w:rPr>
      </w:pPr>
      <w:r>
        <w:continuationSeparator/>
      </w:r>
    </w:p>
  </w:footnote>
  <w:footnote w:id="1">
    <w:p w14:paraId="6A26DA60" w14:textId="77777777" w:rsidR="007B5141" w:rsidRDefault="00000000">
      <w:pPr>
        <w:pStyle w:val="Textodenotaderodap"/>
        <w:ind w:firstLine="0"/>
      </w:pPr>
      <w:r>
        <w:rPr>
          <w:rStyle w:val="Caracteresdenotaderodap"/>
        </w:rPr>
        <w:footnoteRef/>
      </w:r>
      <w:r>
        <w:rPr>
          <w:lang w:val="en-US"/>
        </w:rPr>
        <w:t xml:space="preserve"> ANSI/ASB. </w:t>
      </w:r>
      <w:r>
        <w:rPr>
          <w:i/>
          <w:iCs/>
          <w:lang w:val="en-US"/>
        </w:rPr>
        <w:t>Standard Practices for Method Validation in Forensic Toxicology</w:t>
      </w:r>
      <w:r>
        <w:rPr>
          <w:lang w:val="en-US"/>
        </w:rPr>
        <w:t xml:space="preserve">. </w:t>
      </w:r>
      <w:r>
        <w:t xml:space="preserve">2019. American Academy of Forensic Sciences. Disponível em: </w:t>
      </w:r>
      <w:hyperlink r:id="rId1" w:tgtFrame="_new">
        <w:r>
          <w:rPr>
            <w:rStyle w:val="Hyperlink"/>
          </w:rPr>
          <w:t>https://www.aafs.org/asb-standard/standard-practices-method-validation-forensic-toxicology</w:t>
        </w:r>
      </w:hyperlink>
      <w:r>
        <w:t>. Acesso em: 24 de abril de 2024.</w:t>
      </w:r>
    </w:p>
    <w:p w14:paraId="6F9479F3" w14:textId="77777777" w:rsidR="007B5141" w:rsidRDefault="007B5141">
      <w:pPr>
        <w:pStyle w:val="Textodenotaderodap"/>
        <w:ind w:firstLine="0"/>
      </w:pPr>
    </w:p>
  </w:footnote>
  <w:footnote w:id="2">
    <w:p w14:paraId="2E1760C1" w14:textId="77777777" w:rsidR="007B5141" w:rsidRDefault="00000000">
      <w:pPr>
        <w:pStyle w:val="Textodenotaderodap"/>
        <w:ind w:firstLine="0"/>
        <w:rPr>
          <w:lang w:val="en-US"/>
        </w:rPr>
      </w:pPr>
      <w:r>
        <w:rPr>
          <w:rStyle w:val="Caracteresdenotaderodap"/>
        </w:rPr>
        <w:footnoteRef/>
      </w:r>
      <w:r>
        <w:rPr>
          <w:lang w:val="en-US"/>
        </w:rPr>
        <w:t xml:space="preserve"> UNITED NATIONS OFFICE ON DRUGS AND CRIME. </w:t>
      </w:r>
      <w:r>
        <w:rPr>
          <w:i/>
          <w:iCs/>
          <w:lang w:val="en-US"/>
        </w:rPr>
        <w:t>Guidance for the Validation of Analytical Methodology and Calibration of Equipment</w:t>
      </w:r>
      <w:r>
        <w:rPr>
          <w:lang w:val="en-US"/>
        </w:rPr>
        <w:t xml:space="preserve">. </w:t>
      </w:r>
      <w:r>
        <w:t xml:space="preserve">2009. Disponível em: </w:t>
      </w:r>
      <w:hyperlink r:id="rId2" w:tgtFrame="_new">
        <w:r>
          <w:rPr>
            <w:rStyle w:val="Hyperlink"/>
          </w:rPr>
          <w:t>https://www.unodc.org/unodc/en/scientists/guidance-for-the-validation-of-analytical-methodology-and-calibration-of-equipment.html</w:t>
        </w:r>
      </w:hyperlink>
      <w:r>
        <w:t xml:space="preserve">. </w:t>
      </w:r>
      <w:r>
        <w:rPr>
          <w:lang w:val="en-US"/>
        </w:rPr>
        <w:t>Acesso em: 24 de abril de 2024.</w:t>
      </w:r>
    </w:p>
    <w:p w14:paraId="51E7A128" w14:textId="77777777" w:rsidR="007B5141" w:rsidRDefault="007B5141">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6375" w14:textId="00067EEC" w:rsidR="007B5141" w:rsidRDefault="00000000">
    <w:pPr>
      <w:tabs>
        <w:tab w:val="center" w:pos="4419"/>
        <w:tab w:val="right" w:pos="8838"/>
      </w:tabs>
      <w:spacing w:after="0" w:line="240" w:lineRule="auto"/>
      <w:rPr>
        <w:color w:val="000000"/>
      </w:rPr>
    </w:pPr>
    <w:r>
      <w:rPr>
        <w:noProof/>
      </w:rPr>
      <w:pict w14:anchorId="78481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849891" o:spid="_x0000_s1027" type="#_x0000_t136" style="position:absolute;left:0;text-align:left;margin-left:0;margin-top:0;width:471pt;height:188.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AF9E" w14:textId="4099A833" w:rsidR="007B5141" w:rsidRDefault="00000000">
    <w:pPr>
      <w:tabs>
        <w:tab w:val="center" w:pos="4252"/>
        <w:tab w:val="right" w:pos="8504"/>
      </w:tabs>
      <w:rPr>
        <w:b/>
        <w:sz w:val="20"/>
        <w:szCs w:val="20"/>
      </w:rPr>
    </w:pPr>
    <w:r>
      <w:rPr>
        <w:noProof/>
      </w:rPr>
      <w:pict w14:anchorId="6A9DBE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849892" o:spid="_x0000_s1028" type="#_x0000_t136" style="position:absolute;left:0;text-align:left;margin-left:0;margin-top:0;width:471pt;height:188.4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415C1631" w14:textId="77777777" w:rsidR="007B5141" w:rsidRDefault="00000000">
    <w:pPr>
      <w:tabs>
        <w:tab w:val="center" w:pos="4252"/>
        <w:tab w:val="right" w:pos="8504"/>
      </w:tabs>
      <w:rPr>
        <w:b/>
        <w:sz w:val="16"/>
        <w:szCs w:val="16"/>
      </w:rPr>
    </w:pPr>
    <w:r>
      <w:rPr>
        <w:b/>
        <w:noProof/>
        <w:sz w:val="16"/>
        <w:szCs w:val="16"/>
      </w:rPr>
      <w:drawing>
        <wp:anchor distT="0" distB="0" distL="0" distR="0" simplePos="0" relativeHeight="251657216" behindDoc="1" locked="0" layoutInCell="0" allowOverlap="1" wp14:anchorId="1F2EA314" wp14:editId="5B330696">
          <wp:simplePos x="0" y="0"/>
          <wp:positionH relativeFrom="column">
            <wp:posOffset>52070</wp:posOffset>
          </wp:positionH>
          <wp:positionV relativeFrom="paragraph">
            <wp:posOffset>-50165</wp:posOffset>
          </wp:positionV>
          <wp:extent cx="5996305" cy="48577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rcRect b="53176"/>
                  <a:stretch>
                    <a:fillRect/>
                  </a:stretch>
                </pic:blipFill>
                <pic:spPr bwMode="auto">
                  <a:xfrm>
                    <a:off x="0" y="0"/>
                    <a:ext cx="5996305" cy="485775"/>
                  </a:xfrm>
                  <a:prstGeom prst="rect">
                    <a:avLst/>
                  </a:prstGeom>
                </pic:spPr>
              </pic:pic>
            </a:graphicData>
          </a:graphic>
        </wp:anchor>
      </w:drawing>
    </w:r>
  </w:p>
  <w:p w14:paraId="04CC2ED2" w14:textId="77777777" w:rsidR="007B5141" w:rsidRDefault="007B5141">
    <w:pPr>
      <w:tabs>
        <w:tab w:val="center" w:pos="4252"/>
        <w:tab w:val="right" w:pos="8504"/>
      </w:tabs>
      <w:rPr>
        <w:b/>
        <w:sz w:val="16"/>
        <w:szCs w:val="16"/>
      </w:rPr>
    </w:pPr>
  </w:p>
  <w:p w14:paraId="205D01F0" w14:textId="453A46AA" w:rsidR="00357C55" w:rsidRPr="00357C55" w:rsidRDefault="00000000">
    <w:pPr>
      <w:ind w:firstLine="0"/>
      <w:jc w:val="center"/>
      <w:rPr>
        <w:b/>
        <w:sz w:val="20"/>
        <w:szCs w:val="20"/>
      </w:rPr>
    </w:pPr>
    <w:r>
      <w:rPr>
        <w:b/>
        <w:sz w:val="20"/>
        <w:szCs w:val="20"/>
      </w:rPr>
      <w:t>DIRETRIZ</w:t>
    </w:r>
    <w:r w:rsidR="00412DA5">
      <w:rPr>
        <w:b/>
        <w:sz w:val="20"/>
        <w:szCs w:val="20"/>
      </w:rPr>
      <w:t>ES</w:t>
    </w:r>
    <w:r>
      <w:rPr>
        <w:b/>
        <w:sz w:val="20"/>
        <w:szCs w:val="20"/>
      </w:rPr>
      <w:t xml:space="preserve"> PARA O EXAME TOXICOLÓGICO EM INVESTIGAÇÃO </w:t>
    </w:r>
    <w:r w:rsidRPr="00357C55">
      <w:rPr>
        <w:b/>
        <w:sz w:val="20"/>
        <w:szCs w:val="20"/>
      </w:rPr>
      <w:t>DE</w:t>
    </w:r>
  </w:p>
  <w:p w14:paraId="282CD9AD" w14:textId="706651CC" w:rsidR="007B5141" w:rsidRDefault="00000000">
    <w:pPr>
      <w:ind w:firstLine="0"/>
      <w:jc w:val="center"/>
      <w:rPr>
        <w:b/>
        <w:sz w:val="20"/>
        <w:szCs w:val="20"/>
      </w:rPr>
    </w:pPr>
    <w:r w:rsidRPr="00357C55">
      <w:rPr>
        <w:b/>
        <w:sz w:val="20"/>
        <w:szCs w:val="20"/>
      </w:rPr>
      <w:t xml:space="preserve"> OCORRÊNCIAS DE </w:t>
    </w:r>
    <w:r>
      <w:rPr>
        <w:b/>
        <w:sz w:val="20"/>
        <w:szCs w:val="20"/>
      </w:rPr>
      <w:t>TRÂNSITO</w:t>
    </w:r>
  </w:p>
  <w:p w14:paraId="5BA77BD7" w14:textId="77777777" w:rsidR="007B5141" w:rsidRDefault="007B5141">
    <w:pPr>
      <w:ind w:firstLine="0"/>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2E87" w14:textId="5F089A2B" w:rsidR="007B5141" w:rsidRDefault="00000000">
    <w:pPr>
      <w:tabs>
        <w:tab w:val="center" w:pos="4252"/>
        <w:tab w:val="right" w:pos="8504"/>
      </w:tabs>
      <w:rPr>
        <w:b/>
        <w:sz w:val="20"/>
        <w:szCs w:val="20"/>
      </w:rPr>
    </w:pPr>
    <w:r>
      <w:rPr>
        <w:noProof/>
      </w:rPr>
      <w:pict w14:anchorId="19F4F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849890" o:spid="_x0000_s1026" type="#_x0000_t136" style="position:absolute;left:0;text-align:left;margin-left:0;margin-top:0;width:471pt;height:188.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7BC6AE08" w14:textId="77777777" w:rsidR="007B5141" w:rsidRDefault="00000000">
    <w:pPr>
      <w:tabs>
        <w:tab w:val="center" w:pos="4252"/>
        <w:tab w:val="right" w:pos="8504"/>
      </w:tabs>
      <w:rPr>
        <w:b/>
        <w:sz w:val="16"/>
        <w:szCs w:val="16"/>
      </w:rPr>
    </w:pPr>
    <w:r>
      <w:rPr>
        <w:b/>
        <w:noProof/>
        <w:sz w:val="16"/>
        <w:szCs w:val="16"/>
      </w:rPr>
      <w:drawing>
        <wp:anchor distT="0" distB="0" distL="0" distR="0" simplePos="0" relativeHeight="18" behindDoc="1" locked="0" layoutInCell="0" allowOverlap="1" wp14:anchorId="4F909DE7" wp14:editId="7A0698F5">
          <wp:simplePos x="0" y="0"/>
          <wp:positionH relativeFrom="margin">
            <wp:align>left</wp:align>
          </wp:positionH>
          <wp:positionV relativeFrom="page">
            <wp:posOffset>485775</wp:posOffset>
          </wp:positionV>
          <wp:extent cx="6043930" cy="600075"/>
          <wp:effectExtent l="0" t="0" r="0" b="0"/>
          <wp:wrapSquare wrapText="bothSides"/>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srcRect b="53176"/>
                  <a:stretch>
                    <a:fillRect/>
                  </a:stretch>
                </pic:blipFill>
                <pic:spPr bwMode="auto">
                  <a:xfrm>
                    <a:off x="0" y="0"/>
                    <a:ext cx="6043930" cy="600075"/>
                  </a:xfrm>
                  <a:prstGeom prst="rect">
                    <a:avLst/>
                  </a:prstGeom>
                </pic:spPr>
              </pic:pic>
            </a:graphicData>
          </a:graphic>
        </wp:anchor>
      </w:drawing>
    </w:r>
  </w:p>
  <w:p w14:paraId="100F6392" w14:textId="77777777" w:rsidR="007B5141" w:rsidRDefault="007B5141">
    <w:pP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6302"/>
    <w:multiLevelType w:val="multilevel"/>
    <w:tmpl w:val="FE5E25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C839D3"/>
    <w:multiLevelType w:val="multilevel"/>
    <w:tmpl w:val="0142BF20"/>
    <w:lvl w:ilvl="0">
      <w:start w:val="4"/>
      <w:numFmt w:val="decimal"/>
      <w:lvlText w:val="%1"/>
      <w:lvlJc w:val="left"/>
      <w:pPr>
        <w:tabs>
          <w:tab w:val="num" w:pos="0"/>
        </w:tabs>
        <w:ind w:left="360" w:hanging="360"/>
      </w:pPr>
      <w:rPr>
        <w:color w:val="auto"/>
      </w:rPr>
    </w:lvl>
    <w:lvl w:ilvl="1">
      <w:start w:val="1"/>
      <w:numFmt w:val="decimal"/>
      <w:lvlText w:val="%1.%2"/>
      <w:lvlJc w:val="left"/>
      <w:pPr>
        <w:tabs>
          <w:tab w:val="num" w:pos="0"/>
        </w:tabs>
        <w:ind w:left="360" w:hanging="360"/>
      </w:pPr>
      <w:rPr>
        <w:color w:val="auto"/>
      </w:rPr>
    </w:lvl>
    <w:lvl w:ilvl="2">
      <w:start w:val="1"/>
      <w:numFmt w:val="decimal"/>
      <w:lvlText w:val="%1.%2.%3"/>
      <w:lvlJc w:val="left"/>
      <w:pPr>
        <w:tabs>
          <w:tab w:val="num" w:pos="0"/>
        </w:tabs>
        <w:ind w:left="720" w:hanging="720"/>
      </w:pPr>
      <w:rPr>
        <w:color w:val="auto"/>
      </w:rPr>
    </w:lvl>
    <w:lvl w:ilvl="3">
      <w:start w:val="1"/>
      <w:numFmt w:val="decimal"/>
      <w:lvlText w:val="%1.%2.%3.%4"/>
      <w:lvlJc w:val="left"/>
      <w:pPr>
        <w:tabs>
          <w:tab w:val="num" w:pos="0"/>
        </w:tabs>
        <w:ind w:left="720" w:hanging="720"/>
      </w:pPr>
      <w:rPr>
        <w:color w:val="auto"/>
      </w:rPr>
    </w:lvl>
    <w:lvl w:ilvl="4">
      <w:start w:val="1"/>
      <w:numFmt w:val="decimal"/>
      <w:lvlText w:val="%1.%2.%3.%4.%5"/>
      <w:lvlJc w:val="left"/>
      <w:pPr>
        <w:tabs>
          <w:tab w:val="num" w:pos="0"/>
        </w:tabs>
        <w:ind w:left="1080" w:hanging="1080"/>
      </w:pPr>
      <w:rPr>
        <w:color w:val="auto"/>
      </w:rPr>
    </w:lvl>
    <w:lvl w:ilvl="5">
      <w:start w:val="1"/>
      <w:numFmt w:val="decimal"/>
      <w:lvlText w:val="%1.%2.%3.%4.%5.%6"/>
      <w:lvlJc w:val="left"/>
      <w:pPr>
        <w:tabs>
          <w:tab w:val="num" w:pos="0"/>
        </w:tabs>
        <w:ind w:left="1080" w:hanging="1080"/>
      </w:pPr>
      <w:rPr>
        <w:color w:val="auto"/>
      </w:rPr>
    </w:lvl>
    <w:lvl w:ilvl="6">
      <w:start w:val="1"/>
      <w:numFmt w:val="decimal"/>
      <w:lvlText w:val="%1.%2.%3.%4.%5.%6.%7"/>
      <w:lvlJc w:val="left"/>
      <w:pPr>
        <w:tabs>
          <w:tab w:val="num" w:pos="0"/>
        </w:tabs>
        <w:ind w:left="1440" w:hanging="1440"/>
      </w:pPr>
      <w:rPr>
        <w:color w:val="auto"/>
      </w:rPr>
    </w:lvl>
    <w:lvl w:ilvl="7">
      <w:start w:val="1"/>
      <w:numFmt w:val="decimal"/>
      <w:lvlText w:val="%1.%2.%3.%4.%5.%6.%7.%8"/>
      <w:lvlJc w:val="left"/>
      <w:pPr>
        <w:tabs>
          <w:tab w:val="num" w:pos="0"/>
        </w:tabs>
        <w:ind w:left="1440" w:hanging="1440"/>
      </w:pPr>
      <w:rPr>
        <w:color w:val="auto"/>
      </w:rPr>
    </w:lvl>
    <w:lvl w:ilvl="8">
      <w:start w:val="1"/>
      <w:numFmt w:val="decimal"/>
      <w:lvlText w:val="%1.%2.%3.%4.%5.%6.%7.%8.%9"/>
      <w:lvlJc w:val="left"/>
      <w:pPr>
        <w:tabs>
          <w:tab w:val="num" w:pos="0"/>
        </w:tabs>
        <w:ind w:left="1800" w:hanging="1800"/>
      </w:pPr>
      <w:rPr>
        <w:color w:val="auto"/>
      </w:rPr>
    </w:lvl>
  </w:abstractNum>
  <w:abstractNum w:abstractNumId="2" w15:restartNumberingAfterBreak="0">
    <w:nsid w:val="15C26A1E"/>
    <w:multiLevelType w:val="multilevel"/>
    <w:tmpl w:val="83722C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EF95B70"/>
    <w:multiLevelType w:val="multilevel"/>
    <w:tmpl w:val="33E89D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3D04BDA"/>
    <w:multiLevelType w:val="multilevel"/>
    <w:tmpl w:val="7C5AF41A"/>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4BFC4460"/>
    <w:multiLevelType w:val="multilevel"/>
    <w:tmpl w:val="96C45C22"/>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2160" w:hanging="360"/>
      </w:pPr>
      <w:rPr>
        <w:u w:val="none"/>
      </w:rPr>
    </w:lvl>
    <w:lvl w:ilvl="2">
      <w:start w:val="1"/>
      <w:numFmt w:val="decimal"/>
      <w:lvlText w:val="%3)"/>
      <w:lvlJc w:val="left"/>
      <w:pPr>
        <w:tabs>
          <w:tab w:val="num" w:pos="0"/>
        </w:tabs>
        <w:ind w:left="2880" w:hanging="360"/>
      </w:pPr>
      <w:rPr>
        <w:u w:val="none"/>
      </w:rPr>
    </w:lvl>
    <w:lvl w:ilvl="3">
      <w:start w:val="1"/>
      <w:numFmt w:val="lowerLetter"/>
      <w:lvlText w:val="(%4)"/>
      <w:lvlJc w:val="left"/>
      <w:pPr>
        <w:tabs>
          <w:tab w:val="num" w:pos="0"/>
        </w:tabs>
        <w:ind w:left="3600" w:hanging="360"/>
      </w:pPr>
      <w:rPr>
        <w:u w:val="none"/>
      </w:rPr>
    </w:lvl>
    <w:lvl w:ilvl="4">
      <w:start w:val="1"/>
      <w:numFmt w:val="lowerRoman"/>
      <w:lvlText w:val="(%5)"/>
      <w:lvlJc w:val="right"/>
      <w:pPr>
        <w:tabs>
          <w:tab w:val="num" w:pos="0"/>
        </w:tabs>
        <w:ind w:left="4320" w:hanging="360"/>
      </w:pPr>
      <w:rPr>
        <w:u w:val="none"/>
      </w:rPr>
    </w:lvl>
    <w:lvl w:ilvl="5">
      <w:start w:val="1"/>
      <w:numFmt w:val="decimal"/>
      <w:lvlText w:val="(%6)"/>
      <w:lvlJc w:val="left"/>
      <w:pPr>
        <w:tabs>
          <w:tab w:val="num" w:pos="0"/>
        </w:tabs>
        <w:ind w:left="5040" w:hanging="360"/>
      </w:pPr>
      <w:rPr>
        <w:u w:val="none"/>
      </w:rPr>
    </w:lvl>
    <w:lvl w:ilvl="6">
      <w:start w:val="1"/>
      <w:numFmt w:val="lowerLetter"/>
      <w:lvlText w:val="%7."/>
      <w:lvlJc w:val="left"/>
      <w:pPr>
        <w:tabs>
          <w:tab w:val="num" w:pos="0"/>
        </w:tabs>
        <w:ind w:left="5760" w:hanging="360"/>
      </w:pPr>
      <w:rPr>
        <w:u w:val="none"/>
      </w:rPr>
    </w:lvl>
    <w:lvl w:ilvl="7">
      <w:start w:val="1"/>
      <w:numFmt w:val="lowerRoman"/>
      <w:lvlText w:val="%8."/>
      <w:lvlJc w:val="right"/>
      <w:pPr>
        <w:tabs>
          <w:tab w:val="num" w:pos="0"/>
        </w:tabs>
        <w:ind w:left="6480" w:hanging="360"/>
      </w:pPr>
      <w:rPr>
        <w:u w:val="none"/>
      </w:rPr>
    </w:lvl>
    <w:lvl w:ilvl="8">
      <w:start w:val="1"/>
      <w:numFmt w:val="decimal"/>
      <w:lvlText w:val="%9."/>
      <w:lvlJc w:val="left"/>
      <w:pPr>
        <w:tabs>
          <w:tab w:val="num" w:pos="0"/>
        </w:tabs>
        <w:ind w:left="7200" w:hanging="360"/>
      </w:pPr>
      <w:rPr>
        <w:u w:val="none"/>
      </w:rPr>
    </w:lvl>
  </w:abstractNum>
  <w:abstractNum w:abstractNumId="6" w15:restartNumberingAfterBreak="0">
    <w:nsid w:val="4CB50E83"/>
    <w:multiLevelType w:val="multilevel"/>
    <w:tmpl w:val="BBFA09D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D717E62"/>
    <w:multiLevelType w:val="multilevel"/>
    <w:tmpl w:val="B314BD48"/>
    <w:lvl w:ilvl="0">
      <w:start w:val="4"/>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1890605199">
    <w:abstractNumId w:val="0"/>
  </w:num>
  <w:num w:numId="2" w16cid:durableId="1434547523">
    <w:abstractNumId w:val="5"/>
  </w:num>
  <w:num w:numId="3" w16cid:durableId="1358583447">
    <w:abstractNumId w:val="6"/>
  </w:num>
  <w:num w:numId="4" w16cid:durableId="719784153">
    <w:abstractNumId w:val="3"/>
  </w:num>
  <w:num w:numId="5" w16cid:durableId="535854856">
    <w:abstractNumId w:val="4"/>
  </w:num>
  <w:num w:numId="6" w16cid:durableId="560333748">
    <w:abstractNumId w:val="1"/>
  </w:num>
  <w:num w:numId="7" w16cid:durableId="2062749238">
    <w:abstractNumId w:val="7"/>
  </w:num>
  <w:num w:numId="8" w16cid:durableId="961769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5141"/>
    <w:rsid w:val="0001573A"/>
    <w:rsid w:val="00074B93"/>
    <w:rsid w:val="000808FB"/>
    <w:rsid w:val="000900EB"/>
    <w:rsid w:val="000A469B"/>
    <w:rsid w:val="00100BBE"/>
    <w:rsid w:val="001034D8"/>
    <w:rsid w:val="001114BB"/>
    <w:rsid w:val="001339DF"/>
    <w:rsid w:val="001F3134"/>
    <w:rsid w:val="00340574"/>
    <w:rsid w:val="00357C55"/>
    <w:rsid w:val="00364DF4"/>
    <w:rsid w:val="00375910"/>
    <w:rsid w:val="00412DA5"/>
    <w:rsid w:val="005F7D40"/>
    <w:rsid w:val="0063228B"/>
    <w:rsid w:val="00674E31"/>
    <w:rsid w:val="00681C43"/>
    <w:rsid w:val="007907C1"/>
    <w:rsid w:val="007B5141"/>
    <w:rsid w:val="008362EC"/>
    <w:rsid w:val="00837CFA"/>
    <w:rsid w:val="00953ACF"/>
    <w:rsid w:val="009D2D1E"/>
    <w:rsid w:val="009D5CCC"/>
    <w:rsid w:val="00A574FE"/>
    <w:rsid w:val="00A618FA"/>
    <w:rsid w:val="00B20A13"/>
    <w:rsid w:val="00B53D74"/>
    <w:rsid w:val="00BA2278"/>
    <w:rsid w:val="00BA46C4"/>
    <w:rsid w:val="00C137C7"/>
    <w:rsid w:val="00C24BAF"/>
    <w:rsid w:val="00C42100"/>
    <w:rsid w:val="00D23E3D"/>
    <w:rsid w:val="00DD0482"/>
    <w:rsid w:val="00DF0FF0"/>
    <w:rsid w:val="00DF589F"/>
    <w:rsid w:val="00E84A25"/>
    <w:rsid w:val="00F4012F"/>
    <w:rsid w:val="00F44A7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20C63"/>
  <w15:docId w15:val="{D2A2727B-66A5-453B-AD75-6C863720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60" w:lineRule="auto"/>
      <w:ind w:right="23" w:firstLine="720"/>
      <w:jc w:val="both"/>
    </w:pPr>
  </w:style>
  <w:style w:type="paragraph" w:styleId="Ttulo1">
    <w:name w:val="heading 1"/>
    <w:basedOn w:val="Normal"/>
    <w:next w:val="Normal"/>
    <w:uiPriority w:val="9"/>
    <w:qFormat/>
    <w:pPr>
      <w:tabs>
        <w:tab w:val="left" w:pos="960"/>
      </w:tabs>
      <w:ind w:left="567" w:hanging="567"/>
      <w:outlineLvl w:val="0"/>
    </w:pPr>
    <w:rPr>
      <w:b/>
    </w:rPr>
  </w:style>
  <w:style w:type="paragraph" w:styleId="Ttulo2">
    <w:name w:val="heading 2"/>
    <w:basedOn w:val="Normal"/>
    <w:next w:val="Normal"/>
    <w:uiPriority w:val="9"/>
    <w:unhideWhenUsed/>
    <w:qFormat/>
    <w:pPr>
      <w:tabs>
        <w:tab w:val="left" w:pos="960"/>
      </w:tabs>
      <w:ind w:left="567" w:hanging="567"/>
      <w:outlineLvl w:val="1"/>
    </w:pPr>
    <w:rPr>
      <w:b/>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296A21"/>
  </w:style>
  <w:style w:type="character" w:customStyle="1" w:styleId="RodapChar">
    <w:name w:val="Rodapé Char"/>
    <w:basedOn w:val="Fontepargpadro"/>
    <w:link w:val="Rodap"/>
    <w:uiPriority w:val="99"/>
    <w:qFormat/>
    <w:rsid w:val="00296A21"/>
  </w:style>
  <w:style w:type="character" w:customStyle="1" w:styleId="EndNoteBibliographyTitleChar">
    <w:name w:val="EndNote Bibliography Title Char"/>
    <w:basedOn w:val="Fontepargpadro"/>
    <w:link w:val="EndNoteBibliographyTitle"/>
    <w:qFormat/>
    <w:rsid w:val="00596AFD"/>
    <w:rPr>
      <w:lang w:val="en-US"/>
    </w:rPr>
  </w:style>
  <w:style w:type="character" w:customStyle="1" w:styleId="EndNoteBibliographyChar">
    <w:name w:val="EndNote Bibliography Char"/>
    <w:basedOn w:val="Fontepargpadro"/>
    <w:link w:val="EndNoteBibliography"/>
    <w:qFormat/>
    <w:rsid w:val="00596AFD"/>
    <w:rPr>
      <w:lang w:val="en-US"/>
    </w:rPr>
  </w:style>
  <w:style w:type="character" w:styleId="Hyperlink">
    <w:name w:val="Hyperlink"/>
    <w:basedOn w:val="Fontepargpadro"/>
    <w:uiPriority w:val="99"/>
    <w:unhideWhenUsed/>
    <w:rsid w:val="0091627A"/>
    <w:rPr>
      <w:color w:val="0000FF" w:themeColor="hyperlink"/>
      <w:u w:val="single"/>
    </w:rPr>
  </w:style>
  <w:style w:type="character" w:customStyle="1" w:styleId="TextodebaloChar">
    <w:name w:val="Texto de balão Char"/>
    <w:basedOn w:val="Fontepargpadro"/>
    <w:link w:val="Textodebalo"/>
    <w:uiPriority w:val="99"/>
    <w:semiHidden/>
    <w:qFormat/>
    <w:rsid w:val="001077DA"/>
    <w:rPr>
      <w:rFonts w:ascii="Tahoma" w:hAnsi="Tahoma" w:cs="Tahoma"/>
      <w:sz w:val="16"/>
      <w:szCs w:val="16"/>
    </w:rPr>
  </w:style>
  <w:style w:type="character" w:styleId="Nmerodelinha">
    <w:name w:val="line number"/>
    <w:basedOn w:val="Fontepargpadro"/>
    <w:uiPriority w:val="99"/>
    <w:semiHidden/>
    <w:unhideWhenUsed/>
    <w:qFormat/>
    <w:rsid w:val="00971D89"/>
  </w:style>
  <w:style w:type="character" w:styleId="Refdecomentrio">
    <w:name w:val="annotation reference"/>
    <w:basedOn w:val="Fontepargpadro"/>
    <w:uiPriority w:val="99"/>
    <w:semiHidden/>
    <w:unhideWhenUsed/>
    <w:qFormat/>
    <w:rsid w:val="00FA5AAB"/>
    <w:rPr>
      <w:sz w:val="16"/>
      <w:szCs w:val="16"/>
    </w:rPr>
  </w:style>
  <w:style w:type="character" w:customStyle="1" w:styleId="TextodecomentrioChar">
    <w:name w:val="Texto de comentário Char"/>
    <w:basedOn w:val="Fontepargpadro"/>
    <w:link w:val="Textodecomentrio"/>
    <w:uiPriority w:val="99"/>
    <w:qFormat/>
    <w:rsid w:val="00FA5AAB"/>
    <w:rPr>
      <w:sz w:val="20"/>
      <w:szCs w:val="20"/>
    </w:rPr>
  </w:style>
  <w:style w:type="character" w:customStyle="1" w:styleId="AssuntodocomentrioChar">
    <w:name w:val="Assunto do comentário Char"/>
    <w:basedOn w:val="TextodecomentrioChar"/>
    <w:link w:val="Assuntodocomentrio"/>
    <w:uiPriority w:val="99"/>
    <w:semiHidden/>
    <w:qFormat/>
    <w:rsid w:val="00FA5AAB"/>
    <w:rPr>
      <w:b/>
      <w:bCs/>
      <w:sz w:val="20"/>
      <w:szCs w:val="20"/>
    </w:rPr>
  </w:style>
  <w:style w:type="character" w:styleId="MenoPendente">
    <w:name w:val="Unresolved Mention"/>
    <w:basedOn w:val="Fontepargpadro"/>
    <w:uiPriority w:val="99"/>
    <w:semiHidden/>
    <w:unhideWhenUsed/>
    <w:qFormat/>
    <w:rsid w:val="003E6427"/>
    <w:rPr>
      <w:color w:val="605E5C"/>
      <w:shd w:val="clear" w:color="auto" w:fill="E1DFDD"/>
    </w:rPr>
  </w:style>
  <w:style w:type="character" w:customStyle="1" w:styleId="TextodenotaderodapChar">
    <w:name w:val="Texto de nota de rodapé Char"/>
    <w:basedOn w:val="Fontepargpadro"/>
    <w:link w:val="Textodenotaderodap"/>
    <w:uiPriority w:val="99"/>
    <w:semiHidden/>
    <w:qFormat/>
    <w:rsid w:val="00241C8B"/>
    <w:rPr>
      <w:sz w:val="20"/>
      <w:szCs w:val="20"/>
    </w:rPr>
  </w:style>
  <w:style w:type="character" w:customStyle="1" w:styleId="Caracteresdenotaderodap">
    <w:name w:val="Caracteres de nota de rodapé"/>
    <w:uiPriority w:val="99"/>
    <w:semiHidden/>
    <w:unhideWhenUsed/>
    <w:qFormat/>
    <w:rsid w:val="00241C8B"/>
    <w:rPr>
      <w:vertAlign w:val="superscript"/>
    </w:rPr>
  </w:style>
  <w:style w:type="character" w:styleId="Refdenotaderodap">
    <w:name w:val="footnote reference"/>
    <w:rPr>
      <w:vertAlign w:val="superscript"/>
    </w:rPr>
  </w:style>
  <w:style w:type="character" w:customStyle="1" w:styleId="Vnculodendice">
    <w:name w:val="Vínculo de índice"/>
    <w:qFormat/>
  </w:style>
  <w:style w:type="character" w:customStyle="1" w:styleId="Caracteresdenotadefim">
    <w:name w:val="Caracteres de nota de fim"/>
    <w:qFormat/>
    <w:rPr>
      <w:vertAlign w:val="superscript"/>
    </w:rPr>
  </w:style>
  <w:style w:type="character" w:styleId="Refdenotadefim">
    <w:name w:val="endnote reference"/>
    <w:rPr>
      <w:vertAlign w:val="superscript"/>
    </w:rPr>
  </w:style>
  <w:style w:type="paragraph" w:styleId="Ttulo">
    <w:name w:val="Title"/>
    <w:basedOn w:val="Normal"/>
    <w:next w:val="Corpodetexto"/>
    <w:uiPriority w:val="10"/>
    <w:qFormat/>
    <w:pPr>
      <w:keepNext/>
      <w:keepLines/>
      <w:spacing w:before="48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296A21"/>
    <w:pPr>
      <w:tabs>
        <w:tab w:val="center" w:pos="4419"/>
        <w:tab w:val="right" w:pos="8838"/>
      </w:tabs>
      <w:spacing w:after="0" w:line="240" w:lineRule="auto"/>
    </w:pPr>
  </w:style>
  <w:style w:type="paragraph" w:styleId="Rodap">
    <w:name w:val="footer"/>
    <w:basedOn w:val="Normal"/>
    <w:link w:val="RodapChar"/>
    <w:uiPriority w:val="99"/>
    <w:unhideWhenUsed/>
    <w:rsid w:val="00296A21"/>
    <w:pPr>
      <w:tabs>
        <w:tab w:val="center" w:pos="4419"/>
        <w:tab w:val="right" w:pos="8838"/>
      </w:tabs>
      <w:spacing w:after="0" w:line="240" w:lineRule="auto"/>
    </w:pPr>
  </w:style>
  <w:style w:type="paragraph" w:styleId="PargrafodaLista">
    <w:name w:val="List Paragraph"/>
    <w:basedOn w:val="Normal"/>
    <w:uiPriority w:val="34"/>
    <w:qFormat/>
    <w:rsid w:val="00A84263"/>
    <w:pPr>
      <w:ind w:left="720"/>
      <w:contextualSpacing/>
    </w:pPr>
  </w:style>
  <w:style w:type="paragraph" w:customStyle="1" w:styleId="EndNoteBibliographyTitle">
    <w:name w:val="EndNote Bibliography Title"/>
    <w:basedOn w:val="Normal"/>
    <w:link w:val="EndNoteBibliographyTitleChar"/>
    <w:qFormat/>
    <w:rsid w:val="00596AFD"/>
    <w:pPr>
      <w:spacing w:after="0"/>
      <w:jc w:val="center"/>
    </w:pPr>
    <w:rPr>
      <w:lang w:val="en-US"/>
    </w:rPr>
  </w:style>
  <w:style w:type="paragraph" w:customStyle="1" w:styleId="EndNoteBibliography">
    <w:name w:val="EndNote Bibliography"/>
    <w:basedOn w:val="Normal"/>
    <w:link w:val="EndNoteBibliographyChar"/>
    <w:qFormat/>
    <w:rsid w:val="00596AFD"/>
    <w:pPr>
      <w:spacing w:line="240" w:lineRule="auto"/>
    </w:pPr>
    <w:rPr>
      <w:lang w:val="en-US"/>
    </w:rPr>
  </w:style>
  <w:style w:type="paragraph" w:styleId="Textodebalo">
    <w:name w:val="Balloon Text"/>
    <w:basedOn w:val="Normal"/>
    <w:link w:val="TextodebaloChar"/>
    <w:uiPriority w:val="99"/>
    <w:semiHidden/>
    <w:unhideWhenUsed/>
    <w:qFormat/>
    <w:rsid w:val="001077DA"/>
    <w:pPr>
      <w:spacing w:after="0" w:line="240" w:lineRule="auto"/>
    </w:pPr>
    <w:rPr>
      <w:rFonts w:ascii="Tahoma" w:hAnsi="Tahoma" w:cs="Tahoma"/>
      <w:sz w:val="16"/>
      <w:szCs w:val="16"/>
    </w:rPr>
  </w:style>
  <w:style w:type="paragraph" w:styleId="Reviso">
    <w:name w:val="Revision"/>
    <w:uiPriority w:val="99"/>
    <w:semiHidden/>
    <w:qFormat/>
    <w:rsid w:val="001077DA"/>
  </w:style>
  <w:style w:type="paragraph" w:styleId="Textodecomentrio">
    <w:name w:val="annotation text"/>
    <w:basedOn w:val="Normal"/>
    <w:link w:val="TextodecomentrioChar"/>
    <w:uiPriority w:val="99"/>
    <w:unhideWhenUsed/>
    <w:qFormat/>
    <w:rsid w:val="00FA5AAB"/>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FA5AAB"/>
    <w:rPr>
      <w:b/>
      <w:bCs/>
    </w:rPr>
  </w:style>
  <w:style w:type="paragraph" w:styleId="Ttulodendiceremissivo">
    <w:name w:val="index heading"/>
    <w:basedOn w:val="Ttulo"/>
  </w:style>
  <w:style w:type="paragraph" w:styleId="CabealhodoSumrio">
    <w:name w:val="TOC Heading"/>
    <w:basedOn w:val="Ttulo1"/>
    <w:next w:val="Normal"/>
    <w:uiPriority w:val="39"/>
    <w:unhideWhenUsed/>
    <w:qFormat/>
    <w:rsid w:val="00A33618"/>
    <w:pPr>
      <w:keepNext/>
      <w:keepLines/>
      <w:tabs>
        <w:tab w:val="clear" w:pos="960"/>
      </w:tabs>
      <w:spacing w:before="240" w:after="0" w:line="259" w:lineRule="auto"/>
      <w:ind w:left="0" w:right="0" w:firstLine="0"/>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Sumrio1">
    <w:name w:val="toc 1"/>
    <w:basedOn w:val="Normal"/>
    <w:next w:val="Normal"/>
    <w:autoRedefine/>
    <w:uiPriority w:val="39"/>
    <w:unhideWhenUsed/>
    <w:rsid w:val="00A33618"/>
    <w:pPr>
      <w:spacing w:after="100"/>
    </w:pPr>
  </w:style>
  <w:style w:type="paragraph" w:styleId="Sumrio2">
    <w:name w:val="toc 2"/>
    <w:basedOn w:val="Normal"/>
    <w:next w:val="Normal"/>
    <w:autoRedefine/>
    <w:uiPriority w:val="39"/>
    <w:unhideWhenUsed/>
    <w:rsid w:val="00A33618"/>
    <w:pPr>
      <w:spacing w:after="100"/>
      <w:ind w:left="220"/>
    </w:pPr>
  </w:style>
  <w:style w:type="paragraph" w:styleId="NormalWeb">
    <w:name w:val="Normal (Web)"/>
    <w:basedOn w:val="Normal"/>
    <w:uiPriority w:val="99"/>
    <w:semiHidden/>
    <w:unhideWhenUsed/>
    <w:qFormat/>
    <w:rsid w:val="00177CD0"/>
    <w:rPr>
      <w:sz w:val="24"/>
      <w:szCs w:val="24"/>
    </w:rPr>
  </w:style>
  <w:style w:type="paragraph" w:styleId="Textodenotaderodap">
    <w:name w:val="footnote text"/>
    <w:basedOn w:val="Normal"/>
    <w:link w:val="TextodenotaderodapChar"/>
    <w:uiPriority w:val="99"/>
    <w:semiHidden/>
    <w:unhideWhenUsed/>
    <w:rsid w:val="00241C8B"/>
    <w:pPr>
      <w:spacing w:after="0" w:line="240" w:lineRule="auto"/>
    </w:pPr>
    <w:rPr>
      <w:sz w:val="20"/>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styleId="Tabelacomgrade">
    <w:name w:val="Table Grid"/>
    <w:basedOn w:val="Tabelanormal"/>
    <w:uiPriority w:val="39"/>
    <w:rsid w:val="00A24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afs.org/asb-standard/standard-practices-method-validation-forensic-toxicology"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afs.org/asb-standard/standard-mass-spectral-analysis-forensic-toxicolog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fs.org/academy-standards-boar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aafs.org/asb-standard/standard-analytical-scope-and-sensitivity-forensic-toxicological-testing-blood"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gov.br/prf/pt-br/concurso-2021/resolucoes/R432-13" TargetMode="External"/><Relationship Id="rId14" Type="http://schemas.openxmlformats.org/officeDocument/2006/relationships/hyperlink" Target="https://www.unodc.org/unodc/en/scientists/guidance-for-the-validation-of-analytical-methodology-and-calibration-of-equipment.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nodc.org/unodc/en/scientists/guidance-for-the-validation-of-analytical-methodology-and-calibration-of-equipment.html" TargetMode="External"/><Relationship Id="rId1" Type="http://schemas.openxmlformats.org/officeDocument/2006/relationships/hyperlink" Target="https://www.aafs.org/asb-standard/standard-practices-method-validation-forensic-toxicolog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Ardh7GQx5gkOtSj22Lawqmjrk4w==">CgMxLjAaFAoBMBIPCg0IB0IJEgdHdW5nc3VoGhQKATESDwoNCAdCCRIHR3VuZ3N1aBoUCgEyEg8KDQgHQgkSB0d1bmdzdWgaJwoBMxIiCiAIBCocCgtBQUFCRzBZeVFwRRAIGgtBQUFCRzBZeVFwRRoUCgE0Eg8KDQgHQgkSB0d1bmdzdWgaFAoBNRIPCg0IB0IJEgdHdW5nc3VoGicKATYSIgogCAQqHAoLQUFBQkcwWXlSWUUQCBoLQUFBQkcwWXlSWUUaJwoBNxIiCiAIBCocCgtBQUFCSVdIWjJLWRAIGgtBQUFCSVdIWjJLWRonCgE4EiIKIAgEKhwKC0FBQUJJQ1ZSUko4EAgaC0FBQUJJQ1ZSUko4GicKATkSIgogCAQqHAoLQUFBQklDVlJSTWcQCBoLQUFBQklDVlJSTWcaKAoCMTASIgogCAQqHAoLQUFBQklDVlJSTWcQCBoLQUFBQklXSFoxN1EiiAQKC0FBQUJJQ1ZSUko4EtYDCgtBQUFCSUNWUlJKOBILQUFBQklDVlJSSjgaUAoJdGV4dC9odG1sEkNjb2xvY2FyIHJlZmVyZW5jaWEgYXVzdHJhbGlhbmEgZG8gYnVsbGV0aW4gZGEgdGlhZnQgZSBhIG5vcm1hIEFBRlMuIlEKCnRleHQvcGxhaW4SQ2NvbG9jYXIgcmVmZXJlbmNpYSBhdXN0cmFsaWFuYSBkbyBidWxsZXRpbiBkYSB0aWFmdCBlIGEgbm9ybWEgQUFGUy4qGyIVMTA2NDkyNzYzMDk5OTg5MDUzNzM4KAA4ADCow9z94DE4pITf/eAxSn8KCnRleHQvcGxhaW4ScVRhYmVsYSAyLiBUb2xlcsOibmNpYXMgbcOheGltYXMgcGVybWl0aWRhcyBwYXJhIHJhesO1ZXMgZGUgw61vbnMgbmEgaWRlbnRpZmljYcOnw6NvIHBvciBlc3BlY3Ryb21ldHJpYSBkZSBtYXNzYXMuWgw4MWswcmR0bzU3dWJyAiAAeACaAQYIABAAGACqAUUSQ2NvbG9jYXIgcmVmZXJlbmNpYSBhdXN0cmFsaWFuYSBkbyBidWxsZXRpbiBkYSB0aWFmdCBlIGEgbm9ybWEgQUFGUy6wAQC4AQAYqMPc/eAxIKSE3/3gMTAAQhBraXguMWo5enpoZGc0eHd5Iv8BCgtBQUFCRzBZeVJZRRLNAQoLQUFBQkcwWXlSWUUSC0FBQUJHMFl5UllFGiIKCXRleHQvaHRtbBIVYWp1c3RhciBjb20gbyDDrW5kaWNlIiMKCnRleHQvcGxhaW4SFWFqdXN0YXIgY29tIG8gw61uZGljZSobIhUxMDY0OTI3NjMwOTk5ODkwNTM3MzgoADgAMOqk6oHfMTjqpOqB3zFaC3NzaXJuN3BmZTE2cgIgAHgAiAECmgEGCAAQABgAqgEXEhVhanVzdGFyIGNvbSBvIMOtbmRpY2WwAQC4AQEY6qTqgd8xIOqk6oHfMTAAQhBraXguYWdvd3N1NnF3ZWUwIrsDCgtBQUFCSUNWUlJNZxKJAwoLQUFBQklDVlJSTWcSC0FBQUJJQ1ZSUk1nGhYKCXRleHQvaHRtbBIJY29tcGxldGFyIhcKCnRleHQvcGxhaW4SCWNvbXBsZXRhciobIhUxMDY0OTI3NjMwOTk5ODkwNTM3MzgoADgAMM7r/v3gMTiZlbKM8TFCvwEKC0FBQUJJV0haMTdREgtBQUFCSUNWUlJNZxogCgl0ZXh0L2h0bWwSE2NvbG9jYXIgcmVmZXJlbmNpYXMiIQoKdGV4dC9wbGFpbhITY29sb2NhciByZWZlcmVuY2lhcyobIhUxMTY2NjExMzUxMDU5OTkxODk5NzEoADgAMJmVsozxMTiZlbKM8TFaDG5lM3JkdTluNGgyeXICIAB4AJoBBggAEAAYAKoBFRITY29sb2NhciByZWZlcmVuY2lhc0oeCgp0ZXh0L3BsYWluEhBVTk9EQywgQVNCLCB4eHh4Wgx6MWEzamFoZXdkN3lyAiAAeACaAQYIABAAGACqAQsSCWNvbXBsZXRhcrABALgBABjO6/794DEgmZWyjPExMABCEGtpeC5mZHJlNzVxNWwyM2EitQIKC0FBQUJHMFl5UXBFEoMCCgtBQUFCRzBZeVFwRRILQUFBQkcwWXlRcEUaNAoJdGV4dC9odG1sEidhanVzdGFyIG9zIGl0ZW5zIGRlIGFjb3JkbyBjb20gbyBpbmRpY2UiNQoKdGV4dC9wbGFpbhInYWp1c3RhciBvcyBpdGVucyBkZSBhY29yZG8gY29tIG8gaW5kaWNlKhsiFTEwNjQ5Mjc2MzA5OTk4OTA1MzczOCgAOAAw4OHd/94xOODh3f/eMVoLem94ZDlxMjgxOTVyAiAAeACIAQKaAQYIABAAGACqASkSJ2FqdXN0YXIgb3MgaXRlbnMgZGUgYWNvcmRvIGNvbSBvIGluZGljZbABALgBARjg4d3/3jEg4OHd/94xMABCEGtpeC5lZnJkdGh4MDFsOTMi/wEKC0FBQUJJV0haMktZEs8BCgtBQUFCSVdIWjJLWRILQUFBQklXSFoyS1kaHwoJdGV4dC9odG1sEhJOYSBBQUZTIG7Do28gYWNoZWkiIAoKdGV4dC9wbGFpbhISTmEgQUFGUyBuw6NvIGFjaGVpKhsiFTExNjY2MTEzNTEwNTk5OTE4OTk3MSgAOAAwlJrljfExOJSa5Y3xMUoRCgp0ZXh0L3BsYWluEgMyJS5aDG9iOWZueWhhZWdxMnICIAB4AJoBBggAEAAYAKoBFBISTmEgQUFGUyBuw6NvIGFjaGVpGJSa5Y3xMSCUmuWN8TFCEGtpeC53Mm9nYTYzNXloaWUyDmguM3V5ZmNqeHQwNzV3MghoLmdqZGd4czIJaC4zMGowemxsMgloLjFmb2I5dGUyCGgudHlqY3d0MgloLjNkeTZ2a20yCWguMXQzaDVzZjIJaC40ZDM0b2c4MgloLjJzOGV5bzEyCWguMTdkcDh2dTIJaC4xN2RwOHZ1MgloLjN6bnlzaDcyCWguMjZpbjFyZzIIaC5sbnhiejk4AGoyChNzdWdnZXN0LnB3aXQ1N2gxN251EhtSb255IEFuZGVyc29uIFJlemVuZGUgQ29zdGFqKAoUc3VnZ2VzdC55cGwyYmpud3A3NjISEEZhYnJpY2lvIFBlbGljYW9qMwoUc3VnZ2VzdC43aXBleWlmdGh3aDYSG1JvbnkgQW5kZXJzb24gUmV6ZW5kZSBDb3N0YWozChRzdWdnZXN0LmY4bXJvb3RiMndrNBIbUm9ueSBBbmRlcnNvbiBSZXplbmRlIENvc3RhajMKFHN1Z2dlc3QuNjI3MWZpcWg2eGNrEhtSb255IEFuZGVyc29uIFJlemVuZGUgQ29zdGFqKAoUc3VnZ2VzdC5ocWRmemZpbXA2cHUSEEZhYnJpY2lvIFBlbGljYW9qKAoUc3VnZ2VzdC5jdzN1YnMzcjB1aGQSEEZhYnJpY2lvIFBlbGljYW9qKAoUc3VnZ2VzdC5lNXlwc2cxamp1ZnoSEEZhYnJpY2lvIFBlbGljYW9qMwoUc3VnZ2VzdC41bnc2OG13OWEwdnkSG1JvbnkgQW5kZXJzb24gUmV6ZW5kZSBDb3N0YWonChNzdWdnZXN0LmJjOHo5YjR0cTRnEhBGYWJyaWNpbyBQZWxpY2FvaigKFHN1Z2dlc3QuanJ4MnE5eHZmaDJ5EhBGYWJyaWNpbyBQZWxpY2FvajIKE3N1Z2dlc3QueGNyaXRheXRrY2MSG1JvbnkgQW5kZXJzb24gUmV6ZW5kZSBDb3N0YWozChRzdWdnZXN0LmxlYmd3Y3R4eXVqdxIbUm9ueSBBbmRlcnNvbiBSZXplbmRlIENvc3RhaigKFHN1Z2dlc3QubWN0dmtkYmd3ZXl1EhBGYWJyaWNpbyBQZWxpY2FvajMKFHN1Z2dlc3QueHRqdTVuejhtdDI0EhtSb255IEFuZGVyc29uIFJlemVuZGUgQ29zdGFqMwoUc3VnZ2VzdC5idnV0b2hoMWNpdXoSG1JvbnkgQW5kZXJzb24gUmV6ZW5kZSBDb3N0YWozChRzdWdnZXN0LmV2bnhsYXBzdHFrNRIbUm9ueSBBbmRlcnNvbiBSZXplbmRlIENvc3RhaigKFHN1Z2dlc3QueGJ6MzdrOG85NXlyEhBGYWJyaWNpbyBQZWxpY2FvaicKE3N1Z2dlc3QubnppaTc3aXRvNTMSEEZhYnJpY2lvIFBlbGljYW9qKAoUc3VnZ2VzdC5vbDd3ZTNqMzhlenkSEEZhYnJpY2lvIFBlbGljYW9qMwoUc3VnZ2VzdC5taTlmcmczN25oNngSG1JvbnkgQW5kZXJzb24gUmV6ZW5kZSBDb3N0YWooChRzdWdnZXN0LnNiMmFkZG02bm1nchIQRmFicmljaW8gUGVsaWNhb2ozChRzdWdnZXN0Lm9qcWs0ZnpnY3F0eRIbUm9ueSBBbmRlcnNvbiBSZXplbmRlIENvc3RhajMKFHN1Z2dlc3QudWp6Zm1qbjNqMm11EhtSb255IEFuZGVyc29uIFJlemVuZGUgQ29zdGFqMwoUc3VnZ2VzdC5xZTloY211cm1uZ2YSG1JvbnkgQW5kZXJzb24gUmV6ZW5kZSBDb3N0YWozChRzdWdnZXN0LmNoOHR3bjFpZjQ2ZhIbUm9ueSBBbmRlcnNvbiBSZXplbmRlIENvc3RhajMKFHN1Z2dlc3QudnQ2MHl5MjQ5aW80EhtSb255IEFuZGVyc29uIFJlemVuZGUgQ29zdGFqKAoUc3VnZ2VzdC54aW4wb3J4ejdkN3QSEEZhYnJpY2lvIFBlbGljYW9qMwoUc3VnZ2VzdC53bTB2OHNhZzVmN3MSG1JvbnkgQW5kZXJzb24gUmV6ZW5kZSBDb3N0YXIhMTkyTzI4emh1a1NaQUNNQW9QSUF1anZWc3huR0JBRml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7B471F-F0DA-4781-8467-A232E24B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7591</TotalTime>
  <Pages>17</Pages>
  <Words>4537</Words>
  <Characters>24506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Luiz da Costa</dc:creator>
  <dc:description/>
  <cp:lastModifiedBy>Rony Costa</cp:lastModifiedBy>
  <cp:revision>19</cp:revision>
  <cp:lastPrinted>2024-05-17T11:51:00Z</cp:lastPrinted>
  <dcterms:created xsi:type="dcterms:W3CDTF">2024-05-03T18:38:00Z</dcterms:created>
  <dcterms:modified xsi:type="dcterms:W3CDTF">2024-05-30T11:37:00Z</dcterms:modified>
  <dc:language>pt-BR</dc:language>
</cp:coreProperties>
</file>