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C4B5" w14:textId="3C83AB2E" w:rsidR="00026311" w:rsidRDefault="00563B17" w:rsidP="00114D8B">
      <w:pPr>
        <w:spacing w:line="276" w:lineRule="auto"/>
        <w:jc w:val="center"/>
        <w:rPr>
          <w:rFonts w:ascii="Calibri" w:hAnsi="Calibri"/>
          <w:b/>
          <w:sz w:val="32"/>
          <w:szCs w:val="28"/>
          <w:lang w:val="pt-BR"/>
        </w:rPr>
      </w:pPr>
      <w:r>
        <w:rPr>
          <w:rFonts w:ascii="Calibri" w:hAnsi="Calibri"/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632B2" wp14:editId="22E4A054">
                <wp:simplePos x="0" y="0"/>
                <wp:positionH relativeFrom="column">
                  <wp:posOffset>647205</wp:posOffset>
                </wp:positionH>
                <wp:positionV relativeFrom="paragraph">
                  <wp:posOffset>5840440</wp:posOffset>
                </wp:positionV>
                <wp:extent cx="5440680" cy="2945081"/>
                <wp:effectExtent l="0" t="0" r="0" b="0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0680" cy="294508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EA6DD" w14:textId="77777777" w:rsidR="00F86853" w:rsidRPr="00C16394" w:rsidRDefault="00F86853" w:rsidP="00EF6D0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C16394"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  <w:t>Fábio Bucaretchi</w:t>
                            </w:r>
                          </w:p>
                          <w:p w14:paraId="7FA45BC6" w14:textId="77777777" w:rsidR="00F86853" w:rsidRPr="00C16394" w:rsidRDefault="00F86853" w:rsidP="00EF6D0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C16394"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  <w:t>Camila Carbone Prado</w:t>
                            </w:r>
                          </w:p>
                          <w:p w14:paraId="5F61C5EC" w14:textId="77777777" w:rsidR="00F86853" w:rsidRPr="00C16394" w:rsidRDefault="00F86853" w:rsidP="00EF6D0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C16394"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  <w:t>Carla Fernanda Borrasca-Fernandes</w:t>
                            </w:r>
                          </w:p>
                          <w:p w14:paraId="336F682B" w14:textId="77777777" w:rsidR="00563B17" w:rsidRPr="0089272C" w:rsidRDefault="00F86853" w:rsidP="00EF6D0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89272C"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  <w:t>Eduardo Mello De Capitani</w:t>
                            </w:r>
                            <w:r w:rsidR="00563B17" w:rsidRPr="0089272C"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</w:p>
                          <w:p w14:paraId="075B54DD" w14:textId="77777777" w:rsidR="00563B17" w:rsidRPr="0089272C" w:rsidRDefault="00563B17" w:rsidP="00EF6D0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  <w:p w14:paraId="37E7789A" w14:textId="77777777" w:rsidR="00563B17" w:rsidRPr="0089272C" w:rsidRDefault="00563B17" w:rsidP="00EF6D0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  <w:p w14:paraId="44F2C67A" w14:textId="53FC0BBE" w:rsidR="00F86853" w:rsidRPr="0089272C" w:rsidRDefault="00563B17" w:rsidP="00EF6D0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89272C"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  <w:t>Agosto -2024</w:t>
                            </w:r>
                          </w:p>
                          <w:p w14:paraId="0ABA240A" w14:textId="77777777" w:rsidR="00563B17" w:rsidRPr="0089272C" w:rsidRDefault="00563B17" w:rsidP="00EF6D0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kern w:val="24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632B2" id="Retângulo de cantos arredondados 8" o:spid="_x0000_s1026" style="position:absolute;left:0;text-align:left;margin-left:50.95pt;margin-top:459.9pt;width:428.4pt;height:23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" filled="f" stroked="f" strokeweight="1pt">
                <v:stroke joinstyle="miter"/>
                <v:textbox>
                  <w:txbxContent>
                    <w:p w14:paraId="548EA6DD" w14:textId="77777777" w:rsidR="00F86853" w:rsidRPr="00C16394" w:rsidRDefault="00F86853" w:rsidP="00EF6D04">
                      <w:pPr>
                        <w:spacing w:line="276" w:lineRule="auto"/>
                        <w:jc w:val="center"/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</w:pPr>
                      <w:r w:rsidRPr="00C16394"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  <w:t>Fábio Bucaretchi</w:t>
                      </w:r>
                    </w:p>
                    <w:p w14:paraId="7FA45BC6" w14:textId="77777777" w:rsidR="00F86853" w:rsidRPr="00C16394" w:rsidRDefault="00F86853" w:rsidP="00EF6D04">
                      <w:pPr>
                        <w:spacing w:line="276" w:lineRule="auto"/>
                        <w:jc w:val="center"/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</w:pPr>
                      <w:r w:rsidRPr="00C16394"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  <w:t>Camila Carbone Prado</w:t>
                      </w:r>
                    </w:p>
                    <w:p w14:paraId="5F61C5EC" w14:textId="77777777" w:rsidR="00F86853" w:rsidRPr="00C16394" w:rsidRDefault="00F86853" w:rsidP="00EF6D04">
                      <w:pPr>
                        <w:spacing w:line="276" w:lineRule="auto"/>
                        <w:jc w:val="center"/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</w:pPr>
                      <w:r w:rsidRPr="00C16394"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  <w:t>Carla Fernanda Borrasca-Fernandes</w:t>
                      </w:r>
                    </w:p>
                    <w:p w14:paraId="336F682B" w14:textId="77777777" w:rsidR="00563B17" w:rsidRPr="0089272C" w:rsidRDefault="00F86853" w:rsidP="00EF6D04">
                      <w:pPr>
                        <w:spacing w:line="276" w:lineRule="auto"/>
                        <w:jc w:val="center"/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</w:pPr>
                      <w:r w:rsidRPr="0089272C"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  <w:t>Eduardo Mello De Capitani</w:t>
                      </w:r>
                      <w:r w:rsidR="00563B17" w:rsidRPr="0089272C"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</w:p>
                    <w:p w14:paraId="075B54DD" w14:textId="77777777" w:rsidR="00563B17" w:rsidRPr="0089272C" w:rsidRDefault="00563B17" w:rsidP="00EF6D04">
                      <w:pPr>
                        <w:spacing w:line="276" w:lineRule="auto"/>
                        <w:jc w:val="center"/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</w:pPr>
                    </w:p>
                    <w:p w14:paraId="37E7789A" w14:textId="77777777" w:rsidR="00563B17" w:rsidRPr="0089272C" w:rsidRDefault="00563B17" w:rsidP="00EF6D04">
                      <w:pPr>
                        <w:spacing w:line="276" w:lineRule="auto"/>
                        <w:jc w:val="center"/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</w:pPr>
                    </w:p>
                    <w:p w14:paraId="44F2C67A" w14:textId="53FC0BBE" w:rsidR="00F86853" w:rsidRPr="0089272C" w:rsidRDefault="00563B17" w:rsidP="00EF6D04">
                      <w:pPr>
                        <w:spacing w:line="276" w:lineRule="auto"/>
                        <w:jc w:val="center"/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</w:pPr>
                      <w:r w:rsidRPr="0089272C"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  <w:t>Agosto -2024</w:t>
                      </w:r>
                    </w:p>
                    <w:p w14:paraId="0ABA240A" w14:textId="77777777" w:rsidR="00563B17" w:rsidRPr="0089272C" w:rsidRDefault="00563B17" w:rsidP="00EF6D04">
                      <w:pPr>
                        <w:spacing w:line="276" w:lineRule="auto"/>
                        <w:jc w:val="center"/>
                        <w:rPr>
                          <w:rFonts w:ascii="Calibri" w:hAnsi="Calibri" w:cs="Times New Roman"/>
                          <w:color w:val="000000"/>
                          <w:kern w:val="24"/>
                          <w:sz w:val="40"/>
                          <w:szCs w:val="40"/>
                          <w:lang w:val="pt-B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B1E32" wp14:editId="224AE6C5">
                <wp:simplePos x="0" y="0"/>
                <wp:positionH relativeFrom="column">
                  <wp:posOffset>367030</wp:posOffset>
                </wp:positionH>
                <wp:positionV relativeFrom="paragraph">
                  <wp:posOffset>2932240</wp:posOffset>
                </wp:positionV>
                <wp:extent cx="6065520" cy="2105025"/>
                <wp:effectExtent l="0" t="0" r="11430" b="28575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5520" cy="2105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FE8E95" w14:textId="77777777" w:rsidR="00F86853" w:rsidRPr="00C16394" w:rsidRDefault="00F86853" w:rsidP="00EF6D04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16394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pt-BR"/>
                              </w:rPr>
                              <w:t xml:space="preserve">RECOMENDAÇÕES DE INDICAÇÕES, </w:t>
                            </w:r>
                          </w:p>
                          <w:p w14:paraId="22B0B522" w14:textId="77777777" w:rsidR="00F86853" w:rsidRPr="00C16394" w:rsidRDefault="00F86853" w:rsidP="00EF6D04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16394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pt-BR"/>
                              </w:rPr>
                              <w:t>USO E ESTOQUE DE ANTÍDOTOS:</w:t>
                            </w:r>
                          </w:p>
                          <w:p w14:paraId="7021AC5F" w14:textId="77777777" w:rsidR="00F86853" w:rsidRPr="00EF6D04" w:rsidRDefault="00F86853" w:rsidP="00EF6D04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EF6D04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ABORDAGEM SUMÁRIA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B1E32" id="Retângulo de cantos arredondados 7" o:spid="_x0000_s1027" style="position:absolute;left:0;text-align:left;margin-left:28.9pt;margin-top:230.9pt;width:477.6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" fillcolor="window" strokecolor="#2f528f" strokeweight="1pt">
                <v:stroke joinstyle="miter"/>
                <v:path arrowok="t"/>
                <v:textbox>
                  <w:txbxContent>
                    <w:p w14:paraId="4AFE8E95" w14:textId="77777777" w:rsidR="00F86853" w:rsidRPr="00C16394" w:rsidRDefault="00F86853" w:rsidP="00EF6D04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pt-BR"/>
                        </w:rPr>
                      </w:pPr>
                      <w:r w:rsidRPr="00C16394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pt-BR"/>
                        </w:rPr>
                        <w:t xml:space="preserve">RECOMENDAÇÕES DE INDICAÇÕES, </w:t>
                      </w:r>
                    </w:p>
                    <w:p w14:paraId="22B0B522" w14:textId="77777777" w:rsidR="00F86853" w:rsidRPr="00C16394" w:rsidRDefault="00F86853" w:rsidP="00EF6D04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pt-BR"/>
                        </w:rPr>
                      </w:pPr>
                      <w:r w:rsidRPr="00C16394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pt-BR"/>
                        </w:rPr>
                        <w:t>USO E ESTOQUE DE ANTÍDOTOS:</w:t>
                      </w:r>
                    </w:p>
                    <w:p w14:paraId="7021AC5F" w14:textId="77777777" w:rsidR="00F86853" w:rsidRPr="00EF6D04" w:rsidRDefault="00F86853" w:rsidP="00EF6D04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 w:rsidRPr="00EF6D04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 xml:space="preserve">ABORDAGEM SUMÁRIA </w:t>
                      </w:r>
                    </w:p>
                  </w:txbxContent>
                </v:textbox>
              </v:roundrect>
            </w:pict>
          </mc:Fallback>
        </mc:AlternateContent>
      </w:r>
      <w:r w:rsidR="00054B0F">
        <w:rPr>
          <w:rFonts w:ascii="Calibri" w:hAnsi="Calibri"/>
          <w:noProof/>
          <w:lang w:val="pt-BR"/>
        </w:rPr>
        <w:drawing>
          <wp:anchor distT="0" distB="0" distL="114300" distR="114300" simplePos="0" relativeHeight="251663360" behindDoc="0" locked="0" layoutInCell="1" allowOverlap="1" wp14:anchorId="27E7960F" wp14:editId="0FC5B492">
            <wp:simplePos x="0" y="0"/>
            <wp:positionH relativeFrom="column">
              <wp:posOffset>3402330</wp:posOffset>
            </wp:positionH>
            <wp:positionV relativeFrom="paragraph">
              <wp:posOffset>213360</wp:posOffset>
            </wp:positionV>
            <wp:extent cx="3022600" cy="1110615"/>
            <wp:effectExtent l="0" t="0" r="635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aci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B0F">
        <w:rPr>
          <w:rFonts w:ascii="Calibri" w:hAnsi="Calibri"/>
          <w:noProof/>
          <w:lang w:val="pt-BR"/>
        </w:rPr>
        <w:drawing>
          <wp:anchor distT="0" distB="0" distL="114300" distR="114300" simplePos="0" relativeHeight="251664384" behindDoc="0" locked="0" layoutInCell="1" allowOverlap="1" wp14:anchorId="0D737B74" wp14:editId="3950EC74">
            <wp:simplePos x="0" y="0"/>
            <wp:positionH relativeFrom="column">
              <wp:posOffset>584200</wp:posOffset>
            </wp:positionH>
            <wp:positionV relativeFrom="paragraph">
              <wp:posOffset>1905</wp:posOffset>
            </wp:positionV>
            <wp:extent cx="1852295" cy="1316355"/>
            <wp:effectExtent l="0" t="0" r="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o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5F">
        <w:rPr>
          <w:rFonts w:ascii="Calibri" w:hAnsi="Calibri"/>
          <w:lang w:val="pt-BR"/>
        </w:rPr>
        <w:br w:type="page"/>
      </w:r>
    </w:p>
    <w:p w14:paraId="280C8372" w14:textId="77777777" w:rsidR="004B4916" w:rsidRDefault="004B4916" w:rsidP="00026311">
      <w:pPr>
        <w:spacing w:line="276" w:lineRule="auto"/>
        <w:jc w:val="center"/>
        <w:rPr>
          <w:rFonts w:ascii="Calibri" w:hAnsi="Calibri"/>
          <w:b/>
          <w:sz w:val="28"/>
          <w:szCs w:val="28"/>
          <w:lang w:val="pt-BR"/>
        </w:rPr>
      </w:pPr>
    </w:p>
    <w:p w14:paraId="3ECBDAA0" w14:textId="2D8EF9AD" w:rsidR="00512BD6" w:rsidRDefault="00512BD6" w:rsidP="00026311">
      <w:pPr>
        <w:spacing w:line="276" w:lineRule="auto"/>
        <w:jc w:val="center"/>
        <w:rPr>
          <w:rFonts w:ascii="Calibri" w:hAnsi="Calibri"/>
          <w:b/>
          <w:sz w:val="28"/>
          <w:szCs w:val="28"/>
          <w:lang w:val="pt-BR"/>
        </w:rPr>
      </w:pPr>
      <w:r>
        <w:rPr>
          <w:rFonts w:ascii="Calibri" w:hAnsi="Calibri"/>
          <w:b/>
          <w:sz w:val="28"/>
          <w:szCs w:val="28"/>
          <w:lang w:val="pt-BR"/>
        </w:rPr>
        <w:t>DOCUMENTO ELABORADO PELO</w:t>
      </w:r>
    </w:p>
    <w:p w14:paraId="1AC81937" w14:textId="77777777" w:rsidR="00026311" w:rsidRPr="00BA7DA0" w:rsidRDefault="00026311" w:rsidP="00026311">
      <w:pPr>
        <w:spacing w:line="276" w:lineRule="auto"/>
        <w:jc w:val="center"/>
        <w:rPr>
          <w:rFonts w:ascii="Calibri" w:hAnsi="Calibri"/>
          <w:b/>
          <w:sz w:val="28"/>
          <w:szCs w:val="28"/>
          <w:lang w:val="pt-BR"/>
        </w:rPr>
      </w:pPr>
      <w:r w:rsidRPr="00BA7DA0">
        <w:rPr>
          <w:rFonts w:ascii="Calibri" w:hAnsi="Calibri"/>
          <w:b/>
          <w:sz w:val="28"/>
          <w:szCs w:val="28"/>
          <w:lang w:val="pt-BR"/>
        </w:rPr>
        <w:t xml:space="preserve">CENTRO DE INFORMAÇÃO E ASSISTÊNCIA TOXICOLÓGICA DE CAMPINAS </w:t>
      </w:r>
    </w:p>
    <w:p w14:paraId="097C1512" w14:textId="77777777" w:rsidR="00026311" w:rsidRPr="00BA7DA0" w:rsidRDefault="00026311" w:rsidP="00026311">
      <w:pPr>
        <w:spacing w:line="276" w:lineRule="auto"/>
        <w:jc w:val="center"/>
        <w:rPr>
          <w:rFonts w:ascii="Calibri" w:hAnsi="Calibri"/>
          <w:b/>
          <w:sz w:val="28"/>
          <w:szCs w:val="28"/>
          <w:lang w:val="pt-BR"/>
        </w:rPr>
      </w:pPr>
      <w:r w:rsidRPr="00BA7DA0">
        <w:rPr>
          <w:rFonts w:ascii="Calibri" w:hAnsi="Calibri"/>
          <w:b/>
          <w:sz w:val="28"/>
          <w:szCs w:val="28"/>
          <w:lang w:val="pt-BR"/>
        </w:rPr>
        <w:t>FACULDADE DE CIÊNCIAS MÉDICAS</w:t>
      </w:r>
    </w:p>
    <w:p w14:paraId="78410EF4" w14:textId="77777777" w:rsidR="00026311" w:rsidRPr="00BA7DA0" w:rsidRDefault="00026311" w:rsidP="00026311">
      <w:pPr>
        <w:spacing w:line="276" w:lineRule="auto"/>
        <w:jc w:val="center"/>
        <w:rPr>
          <w:rFonts w:ascii="Calibri" w:hAnsi="Calibri"/>
          <w:b/>
          <w:sz w:val="28"/>
          <w:szCs w:val="28"/>
          <w:lang w:val="pt-BR"/>
        </w:rPr>
      </w:pPr>
      <w:r w:rsidRPr="00BA7DA0">
        <w:rPr>
          <w:rFonts w:ascii="Calibri" w:hAnsi="Calibri"/>
          <w:b/>
          <w:sz w:val="28"/>
          <w:szCs w:val="28"/>
          <w:lang w:val="pt-BR"/>
        </w:rPr>
        <w:t>HOSPITAL DE CLÍNICAS</w:t>
      </w:r>
    </w:p>
    <w:p w14:paraId="72E7A86A" w14:textId="77777777" w:rsidR="00026311" w:rsidRPr="00BA7DA0" w:rsidRDefault="00026311" w:rsidP="00026311">
      <w:pPr>
        <w:spacing w:line="276" w:lineRule="auto"/>
        <w:jc w:val="center"/>
        <w:rPr>
          <w:rFonts w:ascii="Calibri" w:hAnsi="Calibri"/>
          <w:b/>
          <w:sz w:val="28"/>
          <w:szCs w:val="28"/>
          <w:lang w:val="pt-BR"/>
        </w:rPr>
      </w:pPr>
      <w:r w:rsidRPr="00BA7DA0">
        <w:rPr>
          <w:rFonts w:ascii="Calibri" w:hAnsi="Calibri"/>
          <w:b/>
          <w:sz w:val="28"/>
          <w:szCs w:val="28"/>
          <w:lang w:val="pt-BR"/>
        </w:rPr>
        <w:t xml:space="preserve">UNIVERSIDADE ESTADUAL DE CAMPINAS </w:t>
      </w:r>
    </w:p>
    <w:p w14:paraId="3C34DB6D" w14:textId="77777777" w:rsidR="00026311" w:rsidRPr="00BA7DA0" w:rsidRDefault="00026311" w:rsidP="00026311">
      <w:pPr>
        <w:spacing w:line="276" w:lineRule="auto"/>
        <w:jc w:val="center"/>
        <w:rPr>
          <w:rFonts w:ascii="Calibri" w:hAnsi="Calibri"/>
          <w:b/>
          <w:color w:val="C00000"/>
          <w:sz w:val="28"/>
          <w:szCs w:val="28"/>
          <w:lang w:val="pt-BR"/>
        </w:rPr>
      </w:pPr>
    </w:p>
    <w:p w14:paraId="52D2B43F" w14:textId="0E7BE1DE" w:rsidR="00026311" w:rsidRDefault="00026311" w:rsidP="00026311">
      <w:pPr>
        <w:spacing w:line="276" w:lineRule="auto"/>
        <w:jc w:val="center"/>
        <w:rPr>
          <w:rFonts w:ascii="Calibri" w:hAnsi="Calibri"/>
          <w:b/>
          <w:color w:val="C00000"/>
          <w:sz w:val="36"/>
          <w:szCs w:val="28"/>
          <w:lang w:val="pt-BR"/>
        </w:rPr>
      </w:pPr>
    </w:p>
    <w:p w14:paraId="327F13D2" w14:textId="5F56AA2F" w:rsidR="00EF6D04" w:rsidRDefault="00EF6D04" w:rsidP="00026311">
      <w:pPr>
        <w:spacing w:line="276" w:lineRule="auto"/>
        <w:jc w:val="center"/>
        <w:rPr>
          <w:rFonts w:ascii="Calibri" w:hAnsi="Calibri"/>
          <w:b/>
          <w:color w:val="C00000"/>
          <w:sz w:val="36"/>
          <w:szCs w:val="28"/>
          <w:lang w:val="pt-BR"/>
        </w:rPr>
      </w:pPr>
    </w:p>
    <w:p w14:paraId="1ACBAABD" w14:textId="77777777" w:rsidR="00EF6D04" w:rsidRDefault="00EF6D04" w:rsidP="00026311">
      <w:pPr>
        <w:spacing w:line="276" w:lineRule="auto"/>
        <w:jc w:val="center"/>
        <w:rPr>
          <w:rFonts w:ascii="Calibri" w:hAnsi="Calibri"/>
          <w:b/>
          <w:color w:val="C00000"/>
          <w:sz w:val="36"/>
          <w:szCs w:val="28"/>
          <w:lang w:val="pt-BR"/>
        </w:rPr>
      </w:pPr>
    </w:p>
    <w:p w14:paraId="7859B1F2" w14:textId="77777777" w:rsidR="00026311" w:rsidRPr="00EF6D04" w:rsidRDefault="00026311" w:rsidP="00026311">
      <w:pPr>
        <w:spacing w:line="276" w:lineRule="auto"/>
        <w:jc w:val="center"/>
        <w:rPr>
          <w:rFonts w:ascii="Calibri" w:hAnsi="Calibri"/>
          <w:b/>
          <w:color w:val="C00000"/>
          <w:sz w:val="52"/>
          <w:szCs w:val="52"/>
          <w:lang w:val="pt-BR"/>
        </w:rPr>
      </w:pPr>
      <w:r w:rsidRPr="00EF6D04">
        <w:rPr>
          <w:rFonts w:ascii="Calibri" w:hAnsi="Calibri"/>
          <w:b/>
          <w:color w:val="C00000"/>
          <w:sz w:val="52"/>
          <w:szCs w:val="52"/>
          <w:lang w:val="pt-BR"/>
        </w:rPr>
        <w:t>RECOMENDAÇÕES DE INDICAÇÕES, USO E ESTOQUE DE ANTÍDOTOS:</w:t>
      </w:r>
    </w:p>
    <w:p w14:paraId="240C81AF" w14:textId="77777777" w:rsidR="00026311" w:rsidRPr="00EF6D04" w:rsidRDefault="004023D4" w:rsidP="00026311">
      <w:pPr>
        <w:spacing w:line="276" w:lineRule="auto"/>
        <w:jc w:val="center"/>
        <w:rPr>
          <w:rFonts w:ascii="Calibri" w:hAnsi="Calibri"/>
          <w:b/>
          <w:color w:val="C00000"/>
          <w:sz w:val="52"/>
          <w:szCs w:val="52"/>
          <w:lang w:val="pt-BR"/>
        </w:rPr>
      </w:pPr>
      <w:r w:rsidRPr="00EF6D04">
        <w:rPr>
          <w:rFonts w:ascii="Calibri" w:hAnsi="Calibri"/>
          <w:b/>
          <w:color w:val="C00000"/>
          <w:sz w:val="52"/>
          <w:szCs w:val="52"/>
          <w:lang w:val="pt-BR"/>
        </w:rPr>
        <w:t xml:space="preserve">ABORDAGEM </w:t>
      </w:r>
      <w:r w:rsidR="00026311" w:rsidRPr="00EF6D04">
        <w:rPr>
          <w:rFonts w:ascii="Calibri" w:hAnsi="Calibri"/>
          <w:b/>
          <w:color w:val="C00000"/>
          <w:sz w:val="52"/>
          <w:szCs w:val="52"/>
          <w:lang w:val="pt-BR"/>
        </w:rPr>
        <w:t xml:space="preserve">SUMÁRIA </w:t>
      </w:r>
    </w:p>
    <w:p w14:paraId="0ED7D84A" w14:textId="77777777" w:rsidR="00026311" w:rsidRDefault="00026311" w:rsidP="00026311">
      <w:pPr>
        <w:spacing w:line="276" w:lineRule="auto"/>
        <w:jc w:val="center"/>
        <w:rPr>
          <w:rFonts w:ascii="Calibri" w:hAnsi="Calibri"/>
          <w:lang w:val="pt-BR"/>
        </w:rPr>
      </w:pPr>
    </w:p>
    <w:p w14:paraId="09914DD4" w14:textId="2E463B2B" w:rsidR="00026311" w:rsidRDefault="00026311" w:rsidP="00026311">
      <w:pPr>
        <w:spacing w:line="276" w:lineRule="auto"/>
        <w:jc w:val="center"/>
        <w:rPr>
          <w:rFonts w:ascii="Calibri" w:hAnsi="Calibri"/>
          <w:sz w:val="28"/>
          <w:lang w:val="pt-BR"/>
        </w:rPr>
      </w:pPr>
    </w:p>
    <w:p w14:paraId="67591BBC" w14:textId="77777777" w:rsidR="002C1DE9" w:rsidRDefault="002C1DE9" w:rsidP="00026311">
      <w:pPr>
        <w:spacing w:line="276" w:lineRule="auto"/>
        <w:jc w:val="center"/>
        <w:rPr>
          <w:rFonts w:ascii="Calibri" w:hAnsi="Calibri"/>
          <w:sz w:val="28"/>
          <w:lang w:val="pt-BR"/>
        </w:rPr>
      </w:pPr>
    </w:p>
    <w:p w14:paraId="4C927506" w14:textId="77777777" w:rsidR="00EF6D04" w:rsidRDefault="00EF6D04" w:rsidP="00026311">
      <w:pPr>
        <w:spacing w:line="276" w:lineRule="auto"/>
        <w:jc w:val="center"/>
        <w:rPr>
          <w:rFonts w:ascii="Calibri" w:hAnsi="Calibri"/>
          <w:sz w:val="28"/>
          <w:lang w:val="pt-BR"/>
        </w:rPr>
      </w:pPr>
    </w:p>
    <w:p w14:paraId="747D633B" w14:textId="77777777" w:rsidR="00C16394" w:rsidRDefault="00026311" w:rsidP="00026311">
      <w:pPr>
        <w:spacing w:line="276" w:lineRule="auto"/>
        <w:jc w:val="center"/>
        <w:rPr>
          <w:rFonts w:ascii="Calibri" w:hAnsi="Calibri"/>
          <w:sz w:val="28"/>
          <w:lang w:val="pt-BR"/>
        </w:rPr>
      </w:pPr>
      <w:r w:rsidRPr="00F53AB7">
        <w:rPr>
          <w:rFonts w:ascii="Calibri" w:hAnsi="Calibri"/>
          <w:sz w:val="28"/>
          <w:lang w:val="pt-BR"/>
        </w:rPr>
        <w:t>Fábio Bucaretchi,</w:t>
      </w:r>
      <w:r w:rsidRPr="00F53AB7">
        <w:rPr>
          <w:rFonts w:ascii="Calibri" w:hAnsi="Calibri"/>
          <w:sz w:val="28"/>
          <w:vertAlign w:val="superscript"/>
          <w:lang w:val="pt-BR"/>
        </w:rPr>
        <w:t>1,2</w:t>
      </w:r>
      <w:r w:rsidRPr="00F53AB7">
        <w:rPr>
          <w:rFonts w:ascii="Calibri" w:hAnsi="Calibri"/>
          <w:sz w:val="28"/>
          <w:lang w:val="pt-BR"/>
        </w:rPr>
        <w:t xml:space="preserve"> Camila Carbone Prado,</w:t>
      </w:r>
      <w:r w:rsidRPr="00F53AB7">
        <w:rPr>
          <w:rFonts w:ascii="Calibri" w:hAnsi="Calibri"/>
          <w:sz w:val="28"/>
          <w:vertAlign w:val="superscript"/>
          <w:lang w:val="pt-BR"/>
        </w:rPr>
        <w:t>1</w:t>
      </w:r>
      <w:r w:rsidRPr="00F53AB7">
        <w:rPr>
          <w:rFonts w:ascii="Calibri" w:hAnsi="Calibri"/>
          <w:sz w:val="28"/>
          <w:lang w:val="pt-BR"/>
        </w:rPr>
        <w:t xml:space="preserve"> Carla Fernanda Borrasca-Fernandes,</w:t>
      </w:r>
      <w:r w:rsidRPr="00F53AB7">
        <w:rPr>
          <w:rFonts w:ascii="Calibri" w:hAnsi="Calibri"/>
          <w:sz w:val="28"/>
          <w:vertAlign w:val="superscript"/>
          <w:lang w:val="pt-BR"/>
        </w:rPr>
        <w:t>1</w:t>
      </w:r>
      <w:r w:rsidRPr="00F53AB7">
        <w:rPr>
          <w:rFonts w:ascii="Calibri" w:hAnsi="Calibri"/>
          <w:sz w:val="28"/>
          <w:lang w:val="pt-BR"/>
        </w:rPr>
        <w:t xml:space="preserve"> </w:t>
      </w:r>
    </w:p>
    <w:p w14:paraId="2663614F" w14:textId="0954C533" w:rsidR="00026311" w:rsidRDefault="00026311" w:rsidP="00026311">
      <w:pPr>
        <w:spacing w:line="276" w:lineRule="auto"/>
        <w:jc w:val="center"/>
        <w:rPr>
          <w:rFonts w:ascii="Calibri" w:hAnsi="Calibri"/>
          <w:sz w:val="28"/>
          <w:lang w:val="pt-BR"/>
        </w:rPr>
      </w:pPr>
      <w:r w:rsidRPr="00F53AB7">
        <w:rPr>
          <w:rFonts w:ascii="Calibri" w:hAnsi="Calibri"/>
          <w:sz w:val="28"/>
          <w:lang w:val="pt-BR"/>
        </w:rPr>
        <w:t>Eduardo Mello De Capitani</w:t>
      </w:r>
      <w:r w:rsidRPr="00F53AB7">
        <w:rPr>
          <w:rFonts w:ascii="Calibri" w:hAnsi="Calibri"/>
          <w:sz w:val="28"/>
          <w:vertAlign w:val="superscript"/>
          <w:lang w:val="pt-BR"/>
        </w:rPr>
        <w:t>1,3</w:t>
      </w:r>
      <w:r w:rsidRPr="00F53AB7">
        <w:rPr>
          <w:rFonts w:ascii="Calibri" w:hAnsi="Calibri"/>
          <w:sz w:val="28"/>
          <w:lang w:val="pt-BR"/>
        </w:rPr>
        <w:t>.</w:t>
      </w:r>
    </w:p>
    <w:p w14:paraId="050AA18F" w14:textId="77777777" w:rsidR="00EF6D04" w:rsidRPr="00F53AB7" w:rsidRDefault="00EF6D04" w:rsidP="00026311">
      <w:pPr>
        <w:spacing w:line="276" w:lineRule="auto"/>
        <w:jc w:val="center"/>
        <w:rPr>
          <w:rFonts w:ascii="Calibri" w:hAnsi="Calibri"/>
          <w:sz w:val="28"/>
          <w:lang w:val="pt-BR"/>
        </w:rPr>
      </w:pPr>
    </w:p>
    <w:p w14:paraId="4D98DC61" w14:textId="77777777" w:rsidR="00026311" w:rsidRPr="00F53AB7" w:rsidRDefault="00026311" w:rsidP="00026311">
      <w:pPr>
        <w:pStyle w:val="Recuodecorpodetexto"/>
        <w:widowControl w:val="0"/>
        <w:tabs>
          <w:tab w:val="left" w:pos="748"/>
        </w:tabs>
        <w:spacing w:after="0" w:line="240" w:lineRule="auto"/>
        <w:ind w:left="0"/>
        <w:rPr>
          <w:rFonts w:ascii="Calibri" w:hAnsi="Calibri" w:cs="Calibri"/>
          <w:bCs/>
          <w:sz w:val="28"/>
          <w:lang w:val="pt-BR"/>
        </w:rPr>
      </w:pPr>
    </w:p>
    <w:p w14:paraId="7C4B566B" w14:textId="48F4D534" w:rsidR="00026311" w:rsidRPr="00F53AB7" w:rsidRDefault="00026311" w:rsidP="00026311">
      <w:pPr>
        <w:pStyle w:val="Recuodecorpodetexto"/>
        <w:widowControl w:val="0"/>
        <w:numPr>
          <w:ilvl w:val="0"/>
          <w:numId w:val="75"/>
        </w:numPr>
        <w:tabs>
          <w:tab w:val="left" w:pos="748"/>
        </w:tabs>
        <w:spacing w:after="0" w:line="240" w:lineRule="auto"/>
        <w:rPr>
          <w:rFonts w:ascii="Calibri" w:hAnsi="Calibri" w:cs="Calibri"/>
          <w:bCs/>
          <w:sz w:val="28"/>
          <w:u w:val="single"/>
          <w:lang w:val="pt-BR"/>
        </w:rPr>
      </w:pPr>
      <w:r w:rsidRPr="00F53AB7">
        <w:rPr>
          <w:rFonts w:ascii="Calibri" w:hAnsi="Calibri" w:cs="Calibri"/>
          <w:bCs/>
          <w:sz w:val="28"/>
          <w:lang w:val="pt-BR"/>
        </w:rPr>
        <w:t>Centro de Informação e Assistência Toxicológica (CIATox) de Campinas</w:t>
      </w:r>
      <w:r w:rsidRPr="00F53AB7">
        <w:rPr>
          <w:rFonts w:ascii="Calibri" w:hAnsi="Calibri" w:cs="Calibri"/>
          <w:color w:val="000000"/>
          <w:sz w:val="28"/>
          <w:shd w:val="clear" w:color="auto" w:fill="FFFFFF"/>
          <w:lang w:val="pt-BR"/>
        </w:rPr>
        <w:t xml:space="preserve">, </w:t>
      </w:r>
      <w:r w:rsidRPr="00F53AB7">
        <w:rPr>
          <w:rFonts w:ascii="Calibri" w:hAnsi="Calibri" w:cs="Calibri"/>
          <w:bCs/>
          <w:sz w:val="28"/>
          <w:lang w:val="pt-BR"/>
        </w:rPr>
        <w:t>F</w:t>
      </w:r>
      <w:r>
        <w:rPr>
          <w:rFonts w:ascii="Calibri" w:hAnsi="Calibri" w:cs="Calibri"/>
          <w:bCs/>
          <w:sz w:val="28"/>
          <w:lang w:val="pt-BR"/>
        </w:rPr>
        <w:t xml:space="preserve">aculdade de </w:t>
      </w:r>
      <w:r w:rsidRPr="00F53AB7">
        <w:rPr>
          <w:rFonts w:ascii="Calibri" w:hAnsi="Calibri" w:cs="Calibri"/>
          <w:bCs/>
          <w:sz w:val="28"/>
          <w:lang w:val="pt-BR"/>
        </w:rPr>
        <w:t>C</w:t>
      </w:r>
      <w:r>
        <w:rPr>
          <w:rFonts w:ascii="Calibri" w:hAnsi="Calibri" w:cs="Calibri"/>
          <w:bCs/>
          <w:sz w:val="28"/>
          <w:lang w:val="pt-BR"/>
        </w:rPr>
        <w:t xml:space="preserve">iências </w:t>
      </w:r>
      <w:r w:rsidRPr="00F53AB7">
        <w:rPr>
          <w:rFonts w:ascii="Calibri" w:hAnsi="Calibri" w:cs="Calibri"/>
          <w:bCs/>
          <w:sz w:val="28"/>
          <w:lang w:val="pt-BR"/>
        </w:rPr>
        <w:t>M</w:t>
      </w:r>
      <w:r>
        <w:rPr>
          <w:rFonts w:ascii="Calibri" w:hAnsi="Calibri" w:cs="Calibri"/>
          <w:bCs/>
          <w:sz w:val="28"/>
          <w:lang w:val="pt-BR"/>
        </w:rPr>
        <w:t xml:space="preserve">édicas (FCM), </w:t>
      </w:r>
      <w:r w:rsidRPr="00F53AB7">
        <w:rPr>
          <w:rFonts w:ascii="Calibri" w:hAnsi="Calibri" w:cs="Calibri"/>
          <w:bCs/>
          <w:sz w:val="28"/>
          <w:lang w:val="pt-BR"/>
        </w:rPr>
        <w:t>H</w:t>
      </w:r>
      <w:r>
        <w:rPr>
          <w:rFonts w:ascii="Calibri" w:hAnsi="Calibri" w:cs="Calibri"/>
          <w:bCs/>
          <w:sz w:val="28"/>
          <w:lang w:val="pt-BR"/>
        </w:rPr>
        <w:t xml:space="preserve">ospital de Clínicas (HC), Universidade </w:t>
      </w:r>
      <w:r w:rsidR="004B4916">
        <w:rPr>
          <w:rFonts w:ascii="Calibri" w:hAnsi="Calibri" w:cs="Calibri"/>
          <w:bCs/>
          <w:sz w:val="28"/>
          <w:lang w:val="pt-BR"/>
        </w:rPr>
        <w:t>E</w:t>
      </w:r>
      <w:r>
        <w:rPr>
          <w:rFonts w:ascii="Calibri" w:hAnsi="Calibri" w:cs="Calibri"/>
          <w:bCs/>
          <w:sz w:val="28"/>
          <w:lang w:val="pt-BR"/>
        </w:rPr>
        <w:t>stadual de Campinas (</w:t>
      </w:r>
      <w:r w:rsidRPr="00F53AB7">
        <w:rPr>
          <w:rFonts w:ascii="Calibri" w:hAnsi="Calibri" w:cs="Calibri"/>
          <w:bCs/>
          <w:sz w:val="28"/>
          <w:lang w:val="pt-BR"/>
        </w:rPr>
        <w:t>UNICAMP</w:t>
      </w:r>
      <w:r>
        <w:rPr>
          <w:rFonts w:ascii="Calibri" w:hAnsi="Calibri" w:cs="Calibri"/>
          <w:bCs/>
          <w:sz w:val="28"/>
          <w:lang w:val="pt-BR"/>
        </w:rPr>
        <w:t>), Campinas-SP</w:t>
      </w:r>
      <w:r w:rsidRPr="00F53AB7">
        <w:rPr>
          <w:rFonts w:ascii="Calibri" w:hAnsi="Calibri" w:cs="Calibri"/>
          <w:bCs/>
          <w:sz w:val="28"/>
          <w:lang w:val="pt-BR"/>
        </w:rPr>
        <w:t>.</w:t>
      </w:r>
    </w:p>
    <w:p w14:paraId="713F3743" w14:textId="77777777" w:rsidR="00026311" w:rsidRPr="00F53AB7" w:rsidRDefault="00026311" w:rsidP="00026311">
      <w:pPr>
        <w:pStyle w:val="Recuodecorpodetexto"/>
        <w:widowControl w:val="0"/>
        <w:numPr>
          <w:ilvl w:val="0"/>
          <w:numId w:val="75"/>
        </w:numPr>
        <w:tabs>
          <w:tab w:val="left" w:pos="748"/>
        </w:tabs>
        <w:spacing w:after="0" w:line="240" w:lineRule="auto"/>
        <w:rPr>
          <w:rFonts w:ascii="Calibri" w:hAnsi="Calibri"/>
          <w:sz w:val="28"/>
          <w:lang w:val="pt-BR"/>
        </w:rPr>
      </w:pPr>
      <w:r w:rsidRPr="00F53AB7">
        <w:rPr>
          <w:rFonts w:ascii="Calibri" w:hAnsi="Calibri" w:cs="Calibri"/>
          <w:color w:val="000000"/>
          <w:sz w:val="28"/>
          <w:shd w:val="clear" w:color="auto" w:fill="FFFFFF"/>
          <w:lang w:val="pt-BR"/>
        </w:rPr>
        <w:t xml:space="preserve">Departamento de Pediatria, </w:t>
      </w:r>
      <w:r w:rsidRPr="00F53AB7">
        <w:rPr>
          <w:rFonts w:ascii="Calibri" w:hAnsi="Calibri" w:cs="Calibri"/>
          <w:bCs/>
          <w:sz w:val="28"/>
          <w:lang w:val="pt-BR"/>
        </w:rPr>
        <w:t>FCM/UNICAMP</w:t>
      </w:r>
      <w:r>
        <w:rPr>
          <w:rFonts w:ascii="Calibri" w:hAnsi="Calibri" w:cs="Calibri"/>
          <w:bCs/>
          <w:sz w:val="28"/>
          <w:lang w:val="pt-BR"/>
        </w:rPr>
        <w:t>, Campinas-SP</w:t>
      </w:r>
      <w:r w:rsidRPr="00F53AB7">
        <w:rPr>
          <w:rFonts w:ascii="Calibri" w:hAnsi="Calibri" w:cs="Calibri"/>
          <w:bCs/>
          <w:sz w:val="28"/>
          <w:lang w:val="pt-BR"/>
        </w:rPr>
        <w:t>.</w:t>
      </w:r>
    </w:p>
    <w:p w14:paraId="2137F0DD" w14:textId="77777777" w:rsidR="00026311" w:rsidRPr="00C16394" w:rsidRDefault="00026311" w:rsidP="00026311">
      <w:pPr>
        <w:pStyle w:val="Recuodecorpodetexto"/>
        <w:widowControl w:val="0"/>
        <w:numPr>
          <w:ilvl w:val="0"/>
          <w:numId w:val="75"/>
        </w:numPr>
        <w:tabs>
          <w:tab w:val="left" w:pos="748"/>
        </w:tabs>
        <w:spacing w:after="0" w:line="240" w:lineRule="auto"/>
        <w:rPr>
          <w:rFonts w:ascii="Calibri" w:hAnsi="Calibri"/>
          <w:sz w:val="28"/>
          <w:lang w:val="pt-BR"/>
        </w:rPr>
      </w:pPr>
      <w:r w:rsidRPr="00F53AB7">
        <w:rPr>
          <w:rFonts w:ascii="Calibri" w:hAnsi="Calibri" w:cs="Calibri"/>
          <w:color w:val="000000"/>
          <w:sz w:val="28"/>
          <w:shd w:val="clear" w:color="auto" w:fill="FFFFFF"/>
          <w:lang w:val="pt-BR"/>
        </w:rPr>
        <w:t xml:space="preserve">Departamento de Clínica Médica, </w:t>
      </w:r>
      <w:r w:rsidRPr="00F53AB7">
        <w:rPr>
          <w:rFonts w:ascii="Calibri" w:hAnsi="Calibri" w:cs="Calibri"/>
          <w:bCs/>
          <w:sz w:val="28"/>
          <w:lang w:val="pt-BR"/>
        </w:rPr>
        <w:t>FCM/UNICAMP</w:t>
      </w:r>
      <w:r>
        <w:rPr>
          <w:rFonts w:ascii="Calibri" w:hAnsi="Calibri" w:cs="Calibri"/>
          <w:bCs/>
          <w:sz w:val="28"/>
          <w:lang w:val="pt-BR"/>
        </w:rPr>
        <w:t>, Campinas-SP</w:t>
      </w:r>
      <w:r w:rsidRPr="00F53AB7">
        <w:rPr>
          <w:rFonts w:ascii="Calibri" w:hAnsi="Calibri" w:cs="Calibri"/>
          <w:bCs/>
          <w:sz w:val="28"/>
          <w:lang w:val="pt-BR"/>
        </w:rPr>
        <w:t>.</w:t>
      </w:r>
    </w:p>
    <w:p w14:paraId="141DE542" w14:textId="77777777" w:rsidR="00C16394" w:rsidRDefault="00C16394" w:rsidP="00C16394">
      <w:pPr>
        <w:pStyle w:val="Recuodecorpodetexto"/>
        <w:widowControl w:val="0"/>
        <w:tabs>
          <w:tab w:val="left" w:pos="748"/>
        </w:tabs>
        <w:spacing w:after="0" w:line="240" w:lineRule="auto"/>
        <w:rPr>
          <w:rFonts w:ascii="Calibri" w:hAnsi="Calibri" w:cs="Calibri"/>
          <w:bCs/>
          <w:sz w:val="28"/>
          <w:lang w:val="pt-BR"/>
        </w:rPr>
      </w:pPr>
    </w:p>
    <w:p w14:paraId="59F0E380" w14:textId="77777777" w:rsidR="00C16394" w:rsidRDefault="00C16394" w:rsidP="00C16394">
      <w:pPr>
        <w:pStyle w:val="Recuodecorpodetexto"/>
        <w:widowControl w:val="0"/>
        <w:tabs>
          <w:tab w:val="left" w:pos="748"/>
        </w:tabs>
        <w:spacing w:after="0" w:line="240" w:lineRule="auto"/>
        <w:rPr>
          <w:rFonts w:ascii="Calibri" w:hAnsi="Calibri" w:cs="Calibri"/>
          <w:bCs/>
          <w:sz w:val="28"/>
          <w:lang w:val="pt-BR"/>
        </w:rPr>
      </w:pPr>
    </w:p>
    <w:p w14:paraId="09548D21" w14:textId="77777777" w:rsidR="00C16394" w:rsidRDefault="00C16394" w:rsidP="00C16394">
      <w:pPr>
        <w:pStyle w:val="Recuodecorpodetexto"/>
        <w:widowControl w:val="0"/>
        <w:tabs>
          <w:tab w:val="left" w:pos="748"/>
        </w:tabs>
        <w:spacing w:after="0" w:line="240" w:lineRule="auto"/>
        <w:rPr>
          <w:rFonts w:ascii="Calibri" w:hAnsi="Calibri" w:cs="Calibri"/>
          <w:bCs/>
          <w:sz w:val="28"/>
          <w:lang w:val="pt-BR"/>
        </w:rPr>
      </w:pPr>
    </w:p>
    <w:p w14:paraId="02B4DF12" w14:textId="7D5FBED3" w:rsidR="00C16394" w:rsidRDefault="00C16394" w:rsidP="00C16394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  <w:r>
        <w:rPr>
          <w:rFonts w:ascii="Calibri" w:hAnsi="Calibri" w:cs="Calibri"/>
          <w:bCs/>
          <w:sz w:val="28"/>
          <w:lang w:val="pt-BR"/>
        </w:rPr>
        <w:t>Campinas-SP</w:t>
      </w:r>
    </w:p>
    <w:p w14:paraId="4948DC09" w14:textId="029ACABF" w:rsidR="00C16394" w:rsidRDefault="00C16394" w:rsidP="00C16394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  <w:r>
        <w:rPr>
          <w:rFonts w:ascii="Calibri" w:hAnsi="Calibri" w:cs="Calibri"/>
          <w:bCs/>
          <w:sz w:val="28"/>
          <w:lang w:val="pt-BR"/>
        </w:rPr>
        <w:t>202</w:t>
      </w:r>
      <w:r w:rsidR="00512BD6">
        <w:rPr>
          <w:rFonts w:ascii="Calibri" w:hAnsi="Calibri" w:cs="Calibri"/>
          <w:bCs/>
          <w:sz w:val="28"/>
          <w:lang w:val="pt-BR"/>
        </w:rPr>
        <w:t>4</w:t>
      </w:r>
    </w:p>
    <w:p w14:paraId="27EB6FBF" w14:textId="77777777" w:rsidR="002C271E" w:rsidRDefault="002C271E" w:rsidP="002C271E">
      <w:pPr>
        <w:pStyle w:val="Recuodecorpodetexto"/>
        <w:widowControl w:val="0"/>
        <w:tabs>
          <w:tab w:val="left" w:pos="748"/>
        </w:tabs>
        <w:spacing w:after="0" w:line="240" w:lineRule="auto"/>
        <w:rPr>
          <w:rFonts w:ascii="Calibri" w:hAnsi="Calibri" w:cs="Calibri"/>
          <w:b/>
          <w:bCs/>
          <w:sz w:val="28"/>
          <w:lang w:val="pt-BR"/>
        </w:rPr>
      </w:pPr>
    </w:p>
    <w:p w14:paraId="6995EBFF" w14:textId="7864A8D2" w:rsidR="002C271E" w:rsidRDefault="002C271E" w:rsidP="002C271E">
      <w:pPr>
        <w:pStyle w:val="Recuodecorpodetexto"/>
        <w:widowControl w:val="0"/>
        <w:tabs>
          <w:tab w:val="left" w:pos="748"/>
        </w:tabs>
        <w:spacing w:after="0" w:line="240" w:lineRule="auto"/>
        <w:rPr>
          <w:rFonts w:ascii="Calibri" w:hAnsi="Calibri" w:cs="Calibri"/>
          <w:bCs/>
          <w:sz w:val="28"/>
          <w:lang w:val="pt-BR"/>
        </w:rPr>
      </w:pPr>
      <w:r w:rsidRPr="002C271E">
        <w:rPr>
          <w:rFonts w:ascii="Calibri" w:hAnsi="Calibri" w:cs="Calibri"/>
          <w:b/>
          <w:bCs/>
          <w:sz w:val="28"/>
          <w:lang w:val="pt-BR"/>
        </w:rPr>
        <w:t>Observação</w:t>
      </w:r>
      <w:r>
        <w:rPr>
          <w:rFonts w:ascii="Calibri" w:hAnsi="Calibri" w:cs="Calibri"/>
          <w:bCs/>
          <w:sz w:val="28"/>
          <w:lang w:val="pt-BR"/>
        </w:rPr>
        <w:t xml:space="preserve">: esse documento foi adaptado, com autorização dos autores, de um livreto digital com o mesmo nome e de acesso livre, disponível em:  </w:t>
      </w:r>
      <w:hyperlink r:id="rId10" w:history="1">
        <w:r w:rsidR="00A6592D" w:rsidRPr="00683933">
          <w:rPr>
            <w:rStyle w:val="Hyperlink"/>
            <w:rFonts w:ascii="Calibri" w:hAnsi="Calibri" w:cs="Calibri"/>
            <w:bCs/>
            <w:sz w:val="28"/>
            <w:lang w:val="pt-BR"/>
          </w:rPr>
          <w:t>https://www.bibliotecadigital.unicamp.br/bd/index.php/detalhes-material/?code=111700</w:t>
        </w:r>
      </w:hyperlink>
    </w:p>
    <w:p w14:paraId="3F8711A0" w14:textId="77777777" w:rsidR="00C16394" w:rsidRDefault="00C16394" w:rsidP="00C16394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</w:p>
    <w:p w14:paraId="0AEF2E01" w14:textId="3C083EB5" w:rsidR="007F5845" w:rsidRDefault="007F5845" w:rsidP="00C16394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</w:p>
    <w:p w14:paraId="14C4941D" w14:textId="066AFEDA" w:rsidR="007F5845" w:rsidRDefault="0050689C" w:rsidP="00C16394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  <w:r w:rsidRPr="0050689C">
        <w:rPr>
          <w:rFonts w:ascii="Calibri" w:hAnsi="Calibri" w:cs="Calibri"/>
          <w:bCs/>
          <w:noProof/>
          <w:sz w:val="28"/>
          <w:lang w:val="pt-BR"/>
        </w:rPr>
        <w:drawing>
          <wp:anchor distT="0" distB="0" distL="114300" distR="114300" simplePos="0" relativeHeight="251666432" behindDoc="0" locked="0" layoutInCell="1" allowOverlap="1" wp14:anchorId="25F57233" wp14:editId="474130E5">
            <wp:simplePos x="0" y="0"/>
            <wp:positionH relativeFrom="column">
              <wp:posOffset>3298825</wp:posOffset>
            </wp:positionH>
            <wp:positionV relativeFrom="paragraph">
              <wp:posOffset>241935</wp:posOffset>
            </wp:positionV>
            <wp:extent cx="3022600" cy="1110615"/>
            <wp:effectExtent l="0" t="0" r="6350" b="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aci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89C">
        <w:rPr>
          <w:rFonts w:ascii="Calibri" w:hAnsi="Calibri" w:cs="Calibri"/>
          <w:bCs/>
          <w:noProof/>
          <w:sz w:val="28"/>
          <w:lang w:val="pt-BR"/>
        </w:rPr>
        <w:drawing>
          <wp:anchor distT="0" distB="0" distL="114300" distR="114300" simplePos="0" relativeHeight="251667456" behindDoc="0" locked="0" layoutInCell="1" allowOverlap="1" wp14:anchorId="092D5D59" wp14:editId="5BFE564A">
            <wp:simplePos x="0" y="0"/>
            <wp:positionH relativeFrom="column">
              <wp:posOffset>480695</wp:posOffset>
            </wp:positionH>
            <wp:positionV relativeFrom="paragraph">
              <wp:posOffset>30480</wp:posOffset>
            </wp:positionV>
            <wp:extent cx="1852295" cy="1316355"/>
            <wp:effectExtent l="0" t="0" r="0" b="0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o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80A18" w14:textId="39A657AD" w:rsidR="00054B0F" w:rsidRDefault="00054B0F" w:rsidP="00C16394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</w:p>
    <w:p w14:paraId="2B68141C" w14:textId="77777777" w:rsidR="00054B0F" w:rsidRDefault="00054B0F" w:rsidP="00C16394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</w:p>
    <w:p w14:paraId="52D84465" w14:textId="77777777" w:rsidR="00054B0F" w:rsidRDefault="00054B0F" w:rsidP="00C16394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</w:p>
    <w:p w14:paraId="5472D568" w14:textId="7061F791" w:rsidR="007F5845" w:rsidRDefault="007F5845" w:rsidP="007F5845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</w:p>
    <w:p w14:paraId="5471CB73" w14:textId="77777777" w:rsidR="007F5845" w:rsidRDefault="007F5845" w:rsidP="00C16394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</w:p>
    <w:p w14:paraId="2AFD9D21" w14:textId="77777777" w:rsidR="0050689C" w:rsidRDefault="0050689C" w:rsidP="009D3B6C">
      <w:pPr>
        <w:ind w:left="1111" w:right="1123"/>
        <w:jc w:val="center"/>
        <w:rPr>
          <w:rFonts w:asciiTheme="minorHAnsi" w:hAnsiTheme="minorHAnsi"/>
          <w:b/>
          <w:sz w:val="28"/>
          <w:szCs w:val="28"/>
          <w:lang w:val="pt-BR"/>
        </w:rPr>
      </w:pPr>
    </w:p>
    <w:p w14:paraId="668551D7" w14:textId="3F7A7A27" w:rsidR="009D3B6C" w:rsidRPr="00D023D1" w:rsidRDefault="009D3B6C" w:rsidP="009D3B6C">
      <w:pPr>
        <w:ind w:left="1111" w:right="1123"/>
        <w:jc w:val="center"/>
        <w:rPr>
          <w:rFonts w:asciiTheme="minorHAnsi" w:hAnsiTheme="minorHAnsi"/>
          <w:b/>
          <w:lang w:val="pt-BR"/>
        </w:rPr>
      </w:pPr>
      <w:r w:rsidRPr="00D023D1">
        <w:rPr>
          <w:rFonts w:asciiTheme="minorHAnsi" w:hAnsiTheme="minorHAnsi"/>
          <w:b/>
          <w:lang w:val="pt-BR"/>
        </w:rPr>
        <w:t>Sociedade</w:t>
      </w:r>
      <w:r w:rsidRPr="00D023D1">
        <w:rPr>
          <w:rFonts w:asciiTheme="minorHAnsi" w:hAnsiTheme="minorHAnsi"/>
          <w:b/>
          <w:spacing w:val="-8"/>
          <w:lang w:val="pt-BR"/>
        </w:rPr>
        <w:t xml:space="preserve"> </w:t>
      </w:r>
      <w:r w:rsidRPr="00D023D1">
        <w:rPr>
          <w:rFonts w:asciiTheme="minorHAnsi" w:hAnsiTheme="minorHAnsi"/>
          <w:b/>
          <w:lang w:val="pt-BR"/>
        </w:rPr>
        <w:t>Brasileira</w:t>
      </w:r>
      <w:r w:rsidRPr="00D023D1">
        <w:rPr>
          <w:rFonts w:asciiTheme="minorHAnsi" w:hAnsiTheme="minorHAnsi"/>
          <w:b/>
          <w:spacing w:val="-7"/>
          <w:lang w:val="pt-BR"/>
        </w:rPr>
        <w:t xml:space="preserve"> </w:t>
      </w:r>
      <w:r w:rsidRPr="00D023D1">
        <w:rPr>
          <w:rFonts w:asciiTheme="minorHAnsi" w:hAnsiTheme="minorHAnsi"/>
          <w:b/>
          <w:lang w:val="pt-BR"/>
        </w:rPr>
        <w:t>de</w:t>
      </w:r>
      <w:r w:rsidRPr="00D023D1">
        <w:rPr>
          <w:rFonts w:asciiTheme="minorHAnsi" w:hAnsiTheme="minorHAnsi"/>
          <w:b/>
          <w:spacing w:val="-7"/>
          <w:lang w:val="pt-BR"/>
        </w:rPr>
        <w:t xml:space="preserve"> </w:t>
      </w:r>
      <w:r w:rsidRPr="00D023D1">
        <w:rPr>
          <w:rFonts w:asciiTheme="minorHAnsi" w:hAnsiTheme="minorHAnsi"/>
          <w:b/>
          <w:lang w:val="pt-BR"/>
        </w:rPr>
        <w:t>Toxicologia</w:t>
      </w:r>
      <w:r w:rsidR="00D023D1" w:rsidRPr="00D023D1">
        <w:rPr>
          <w:rFonts w:asciiTheme="minorHAnsi" w:hAnsiTheme="minorHAnsi"/>
          <w:b/>
          <w:lang w:val="pt-BR"/>
        </w:rPr>
        <w:t xml:space="preserve"> </w:t>
      </w:r>
      <w:r w:rsidRPr="00D023D1">
        <w:rPr>
          <w:rFonts w:asciiTheme="minorHAnsi" w:hAnsiTheme="minorHAnsi"/>
          <w:b/>
          <w:lang w:val="pt-BR"/>
        </w:rPr>
        <w:t>-</w:t>
      </w:r>
      <w:r w:rsidRPr="00D023D1">
        <w:rPr>
          <w:rFonts w:asciiTheme="minorHAnsi" w:hAnsiTheme="minorHAnsi"/>
          <w:b/>
          <w:spacing w:val="-6"/>
          <w:lang w:val="pt-BR"/>
        </w:rPr>
        <w:t xml:space="preserve"> </w:t>
      </w:r>
      <w:r w:rsidRPr="00D023D1">
        <w:rPr>
          <w:rFonts w:asciiTheme="minorHAnsi" w:hAnsiTheme="minorHAnsi"/>
          <w:b/>
          <w:spacing w:val="-2"/>
          <w:lang w:val="pt-BR"/>
        </w:rPr>
        <w:t>SBTox</w:t>
      </w:r>
    </w:p>
    <w:p w14:paraId="23A188C3" w14:textId="77777777" w:rsidR="009D3B6C" w:rsidRPr="00D023D1" w:rsidRDefault="009D3B6C" w:rsidP="009D3B6C">
      <w:pPr>
        <w:spacing w:before="161"/>
        <w:ind w:left="413" w:right="428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lang w:val="pt-BR"/>
        </w:rPr>
        <w:t>Av.</w:t>
      </w:r>
      <w:r w:rsidRPr="00D023D1">
        <w:rPr>
          <w:rFonts w:asciiTheme="minorHAnsi" w:hAnsiTheme="minorHAnsi"/>
          <w:spacing w:val="-3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Prof.</w:t>
      </w:r>
      <w:r w:rsidRPr="00D023D1">
        <w:rPr>
          <w:rFonts w:asciiTheme="minorHAnsi" w:hAnsiTheme="minorHAnsi"/>
          <w:spacing w:val="-6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Lineu</w:t>
      </w:r>
      <w:r w:rsidRPr="00D023D1">
        <w:rPr>
          <w:rFonts w:asciiTheme="minorHAnsi" w:hAnsiTheme="minorHAnsi"/>
          <w:spacing w:val="-1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Prestes,</w:t>
      </w:r>
      <w:r w:rsidRPr="00D023D1">
        <w:rPr>
          <w:rFonts w:asciiTheme="minorHAnsi" w:hAnsiTheme="minorHAnsi"/>
          <w:spacing w:val="-3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580</w:t>
      </w:r>
      <w:r w:rsidRPr="00D023D1">
        <w:rPr>
          <w:rFonts w:asciiTheme="minorHAnsi" w:hAnsiTheme="minorHAnsi"/>
          <w:spacing w:val="-1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Bloco</w:t>
      </w:r>
      <w:r w:rsidRPr="00D023D1">
        <w:rPr>
          <w:rFonts w:asciiTheme="minorHAnsi" w:hAnsiTheme="minorHAnsi"/>
          <w:spacing w:val="-1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13B,</w:t>
      </w:r>
      <w:r w:rsidRPr="00D023D1">
        <w:rPr>
          <w:rFonts w:asciiTheme="minorHAnsi" w:hAnsiTheme="minorHAnsi"/>
          <w:spacing w:val="-4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CEP:</w:t>
      </w:r>
      <w:r w:rsidRPr="00D023D1">
        <w:rPr>
          <w:rFonts w:asciiTheme="minorHAnsi" w:hAnsiTheme="minorHAnsi"/>
          <w:spacing w:val="-5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05508-000,</w:t>
      </w:r>
      <w:r w:rsidRPr="00D023D1">
        <w:rPr>
          <w:rFonts w:asciiTheme="minorHAnsi" w:hAnsiTheme="minorHAnsi"/>
          <w:spacing w:val="-3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São</w:t>
      </w:r>
      <w:r w:rsidRPr="00D023D1">
        <w:rPr>
          <w:rFonts w:asciiTheme="minorHAnsi" w:hAnsiTheme="minorHAnsi"/>
          <w:spacing w:val="-5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Paulo/SP Telefax: (+55 11) 3031 1857</w:t>
      </w:r>
    </w:p>
    <w:p w14:paraId="32569DE7" w14:textId="28012143" w:rsidR="009D3B6C" w:rsidRPr="00D023D1" w:rsidRDefault="009D3B6C" w:rsidP="00085F1A">
      <w:pPr>
        <w:tabs>
          <w:tab w:val="left" w:pos="2725"/>
        </w:tabs>
        <w:spacing w:before="2"/>
        <w:ind w:right="16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lang w:val="pt-BR"/>
        </w:rPr>
        <w:t>Site:</w:t>
      </w:r>
      <w:r w:rsidRPr="00D023D1">
        <w:rPr>
          <w:rFonts w:asciiTheme="minorHAnsi" w:hAnsiTheme="minorHAnsi"/>
          <w:spacing w:val="-6"/>
          <w:lang w:val="pt-BR"/>
        </w:rPr>
        <w:t xml:space="preserve"> </w:t>
      </w:r>
      <w:hyperlink r:id="rId11">
        <w:r w:rsidRPr="00D023D1">
          <w:rPr>
            <w:rFonts w:asciiTheme="minorHAnsi" w:hAnsiTheme="minorHAnsi"/>
            <w:spacing w:val="-2"/>
            <w:lang w:val="pt-BR"/>
          </w:rPr>
          <w:t>www.sbtox.org</w:t>
        </w:r>
      </w:hyperlink>
      <w:r w:rsidRPr="00D023D1">
        <w:rPr>
          <w:rFonts w:asciiTheme="minorHAnsi" w:hAnsiTheme="minorHAnsi"/>
          <w:lang w:val="pt-BR"/>
        </w:rPr>
        <w:tab/>
        <w:t>e-mail:</w:t>
      </w:r>
      <w:r w:rsidRPr="00D023D1">
        <w:rPr>
          <w:rFonts w:asciiTheme="minorHAnsi" w:hAnsiTheme="minorHAnsi"/>
          <w:spacing w:val="3"/>
          <w:lang w:val="pt-BR"/>
        </w:rPr>
        <w:t xml:space="preserve"> </w:t>
      </w:r>
      <w:hyperlink r:id="rId12">
        <w:r w:rsidRPr="00D023D1">
          <w:rPr>
            <w:rFonts w:asciiTheme="minorHAnsi" w:hAnsiTheme="minorHAnsi"/>
            <w:spacing w:val="-2"/>
            <w:lang w:val="pt-BR"/>
          </w:rPr>
          <w:t>diretoria@sbtox.org</w:t>
        </w:r>
      </w:hyperlink>
    </w:p>
    <w:p w14:paraId="7C13F691" w14:textId="77777777" w:rsidR="00C54ABD" w:rsidRPr="00D023D1" w:rsidRDefault="00C54ABD" w:rsidP="009D3B6C">
      <w:pPr>
        <w:ind w:left="1701" w:right="1793"/>
        <w:jc w:val="center"/>
        <w:rPr>
          <w:rFonts w:asciiTheme="minorHAnsi" w:hAnsiTheme="minorHAnsi"/>
          <w:b/>
          <w:lang w:val="pt-BR"/>
        </w:rPr>
      </w:pPr>
    </w:p>
    <w:p w14:paraId="57B17B94" w14:textId="546BA350" w:rsidR="009D3B6C" w:rsidRPr="00D023D1" w:rsidRDefault="009D3B6C" w:rsidP="009D3B6C">
      <w:pPr>
        <w:ind w:left="1701" w:right="1793"/>
        <w:jc w:val="center"/>
        <w:rPr>
          <w:rFonts w:asciiTheme="minorHAnsi" w:hAnsiTheme="minorHAnsi"/>
          <w:b/>
          <w:spacing w:val="40"/>
          <w:lang w:val="pt-BR"/>
        </w:rPr>
      </w:pPr>
      <w:r w:rsidRPr="00D023D1">
        <w:rPr>
          <w:rFonts w:asciiTheme="minorHAnsi" w:hAnsiTheme="minorHAnsi"/>
          <w:b/>
          <w:lang w:val="pt-BR"/>
        </w:rPr>
        <w:t>Diretoria – Biênio 2024-2026</w:t>
      </w:r>
    </w:p>
    <w:p w14:paraId="406508E2" w14:textId="77777777" w:rsidR="009D3B6C" w:rsidRPr="00D023D1" w:rsidRDefault="009D3B6C" w:rsidP="00085F1A">
      <w:pPr>
        <w:ind w:left="1701" w:right="1793"/>
        <w:jc w:val="center"/>
        <w:rPr>
          <w:rFonts w:asciiTheme="minorHAnsi" w:hAnsiTheme="minorHAnsi"/>
          <w:b/>
          <w:lang w:val="pt-BR"/>
        </w:rPr>
      </w:pPr>
      <w:r w:rsidRPr="00D023D1">
        <w:rPr>
          <w:rFonts w:asciiTheme="minorHAnsi" w:hAnsiTheme="minorHAnsi"/>
          <w:b/>
          <w:lang w:val="pt-BR"/>
        </w:rPr>
        <w:t>Presidente:</w:t>
      </w:r>
      <w:r w:rsidRPr="00D023D1">
        <w:rPr>
          <w:rFonts w:asciiTheme="minorHAnsi" w:hAnsiTheme="minorHAnsi"/>
          <w:b/>
          <w:spacing w:val="-11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Rafael</w:t>
      </w:r>
      <w:r w:rsidRPr="00D023D1">
        <w:rPr>
          <w:rFonts w:asciiTheme="minorHAnsi" w:hAnsiTheme="minorHAnsi"/>
          <w:spacing w:val="-12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Lanaro</w:t>
      </w:r>
      <w:r w:rsidRPr="00D023D1">
        <w:rPr>
          <w:rFonts w:asciiTheme="minorHAnsi" w:hAnsiTheme="minorHAnsi"/>
          <w:spacing w:val="-8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(CIATox/UNICAMP-SP)</w:t>
      </w:r>
    </w:p>
    <w:p w14:paraId="3FF46A5B" w14:textId="7F129140" w:rsidR="009D3B6C" w:rsidRPr="00D023D1" w:rsidRDefault="009D3B6C" w:rsidP="00085F1A">
      <w:pPr>
        <w:ind w:left="1701" w:right="1793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b/>
          <w:lang w:val="pt-BR"/>
        </w:rPr>
        <w:t xml:space="preserve"> Vice-Presidente: </w:t>
      </w:r>
      <w:r w:rsidRPr="00D023D1">
        <w:rPr>
          <w:rFonts w:asciiTheme="minorHAnsi" w:hAnsiTheme="minorHAnsi"/>
          <w:lang w:val="pt-BR"/>
        </w:rPr>
        <w:t>José Roberto Santin (Univali-SC)</w:t>
      </w:r>
    </w:p>
    <w:p w14:paraId="1EA0EAD2" w14:textId="77777777" w:rsidR="009D3B6C" w:rsidRPr="00D023D1" w:rsidRDefault="009D3B6C" w:rsidP="00085F1A">
      <w:pPr>
        <w:ind w:left="1701" w:right="1124"/>
        <w:jc w:val="center"/>
        <w:rPr>
          <w:rFonts w:asciiTheme="minorHAnsi" w:hAnsiTheme="minorHAnsi"/>
          <w:b/>
          <w:lang w:val="pt-BR"/>
        </w:rPr>
      </w:pPr>
      <w:r w:rsidRPr="00D023D1">
        <w:rPr>
          <w:rFonts w:asciiTheme="minorHAnsi" w:hAnsiTheme="minorHAnsi"/>
          <w:b/>
          <w:lang w:val="pt-BR"/>
        </w:rPr>
        <w:t>Secretário-Geral:</w:t>
      </w:r>
      <w:r w:rsidRPr="00D023D1">
        <w:rPr>
          <w:rFonts w:asciiTheme="minorHAnsi" w:hAnsiTheme="minorHAnsi"/>
          <w:b/>
          <w:spacing w:val="-11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Sarah</w:t>
      </w:r>
      <w:r w:rsidRPr="00D023D1">
        <w:rPr>
          <w:rFonts w:asciiTheme="minorHAnsi" w:hAnsiTheme="minorHAnsi"/>
          <w:spacing w:val="-9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Eller</w:t>
      </w:r>
      <w:r w:rsidRPr="00D023D1">
        <w:rPr>
          <w:rFonts w:asciiTheme="minorHAnsi" w:hAnsiTheme="minorHAnsi"/>
          <w:spacing w:val="-9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(UFCSPA-</w:t>
      </w:r>
      <w:r w:rsidRPr="00D023D1">
        <w:rPr>
          <w:rFonts w:asciiTheme="minorHAnsi" w:hAnsiTheme="minorHAnsi"/>
          <w:spacing w:val="-5"/>
          <w:lang w:val="pt-BR"/>
        </w:rPr>
        <w:t>RS)</w:t>
      </w:r>
    </w:p>
    <w:p w14:paraId="065B4B93" w14:textId="77777777" w:rsidR="009D3B6C" w:rsidRPr="00D023D1" w:rsidRDefault="009D3B6C" w:rsidP="00085F1A">
      <w:pPr>
        <w:ind w:left="1701" w:right="301"/>
        <w:jc w:val="center"/>
        <w:rPr>
          <w:rFonts w:asciiTheme="minorHAnsi" w:hAnsiTheme="minorHAnsi"/>
          <w:b/>
          <w:lang w:val="pt-BR"/>
        </w:rPr>
      </w:pPr>
      <w:r w:rsidRPr="00D023D1">
        <w:rPr>
          <w:rFonts w:asciiTheme="minorHAnsi" w:hAnsiTheme="minorHAnsi"/>
          <w:b/>
          <w:lang w:val="pt-BR"/>
        </w:rPr>
        <w:t>1o.</w:t>
      </w:r>
      <w:r w:rsidRPr="00D023D1">
        <w:rPr>
          <w:rFonts w:asciiTheme="minorHAnsi" w:hAnsiTheme="minorHAnsi"/>
          <w:b/>
          <w:spacing w:val="-4"/>
          <w:lang w:val="pt-BR"/>
        </w:rPr>
        <w:t xml:space="preserve"> </w:t>
      </w:r>
      <w:r w:rsidRPr="00D023D1">
        <w:rPr>
          <w:rFonts w:asciiTheme="minorHAnsi" w:hAnsiTheme="minorHAnsi"/>
          <w:b/>
          <w:lang w:val="pt-BR"/>
        </w:rPr>
        <w:t>Secretário:</w:t>
      </w:r>
      <w:r w:rsidRPr="00D023D1">
        <w:rPr>
          <w:rFonts w:asciiTheme="minorHAnsi" w:hAnsiTheme="minorHAnsi"/>
          <w:b/>
          <w:spacing w:val="-4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Antônio</w:t>
      </w:r>
      <w:r w:rsidRPr="00D023D1">
        <w:rPr>
          <w:rFonts w:asciiTheme="minorHAnsi" w:hAnsiTheme="minorHAnsi"/>
          <w:spacing w:val="-6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Anax</w:t>
      </w:r>
      <w:r w:rsidRPr="00D023D1">
        <w:rPr>
          <w:rFonts w:asciiTheme="minorHAnsi" w:hAnsiTheme="minorHAnsi"/>
          <w:spacing w:val="-3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Falcão</w:t>
      </w:r>
      <w:r w:rsidRPr="00D023D1">
        <w:rPr>
          <w:rFonts w:asciiTheme="minorHAnsi" w:hAnsiTheme="minorHAnsi"/>
          <w:spacing w:val="-3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de</w:t>
      </w:r>
      <w:r w:rsidRPr="00D023D1">
        <w:rPr>
          <w:rFonts w:asciiTheme="minorHAnsi" w:hAnsiTheme="minorHAnsi"/>
          <w:spacing w:val="-7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Oliveira</w:t>
      </w:r>
      <w:r w:rsidRPr="00D023D1">
        <w:rPr>
          <w:rFonts w:asciiTheme="minorHAnsi" w:hAnsiTheme="minorHAnsi"/>
          <w:spacing w:val="-1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(AIMA</w:t>
      </w:r>
      <w:r w:rsidRPr="00D023D1">
        <w:rPr>
          <w:rFonts w:asciiTheme="minorHAnsi" w:hAnsiTheme="minorHAnsi"/>
          <w:spacing w:val="-3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Toxicologia-SP)</w:t>
      </w:r>
      <w:r w:rsidRPr="00D023D1">
        <w:rPr>
          <w:rFonts w:asciiTheme="minorHAnsi" w:hAnsiTheme="minorHAnsi"/>
          <w:b/>
          <w:lang w:val="pt-BR"/>
        </w:rPr>
        <w:t xml:space="preserve"> </w:t>
      </w:r>
    </w:p>
    <w:p w14:paraId="1E5D31E3" w14:textId="776EFB86" w:rsidR="009D3B6C" w:rsidRPr="00D023D1" w:rsidRDefault="009D3B6C" w:rsidP="00085F1A">
      <w:pPr>
        <w:ind w:left="1701" w:right="301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b/>
          <w:lang w:val="pt-BR"/>
        </w:rPr>
        <w:t xml:space="preserve">2o. Secretário: </w:t>
      </w:r>
      <w:r w:rsidRPr="00D023D1">
        <w:rPr>
          <w:rFonts w:asciiTheme="minorHAnsi" w:hAnsiTheme="minorHAnsi"/>
          <w:lang w:val="pt-BR"/>
        </w:rPr>
        <w:t>Lilian Cristina Pereira (UNESP-SP)</w:t>
      </w:r>
    </w:p>
    <w:p w14:paraId="77B43B90" w14:textId="58AD0847" w:rsidR="009D3B6C" w:rsidRPr="00D023D1" w:rsidRDefault="009D3B6C" w:rsidP="00085F1A">
      <w:pPr>
        <w:ind w:left="1701" w:right="1256"/>
        <w:jc w:val="center"/>
        <w:rPr>
          <w:rFonts w:asciiTheme="minorHAnsi" w:hAnsiTheme="minorHAnsi"/>
          <w:b/>
          <w:lang w:val="pt-BR"/>
        </w:rPr>
      </w:pPr>
      <w:r w:rsidRPr="00D023D1">
        <w:rPr>
          <w:rFonts w:asciiTheme="minorHAnsi" w:hAnsiTheme="minorHAnsi"/>
          <w:b/>
          <w:lang w:val="pt-BR"/>
        </w:rPr>
        <w:t xml:space="preserve">1o. Tesoureiro: </w:t>
      </w:r>
      <w:r w:rsidRPr="00D023D1">
        <w:rPr>
          <w:rFonts w:asciiTheme="minorHAnsi" w:hAnsiTheme="minorHAnsi"/>
          <w:lang w:val="pt-BR"/>
        </w:rPr>
        <w:t>Rony Anderson Rezende Costa (PC-PB)</w:t>
      </w:r>
    </w:p>
    <w:p w14:paraId="784FA2C2" w14:textId="585DF521" w:rsidR="009D3B6C" w:rsidRPr="00D023D1" w:rsidRDefault="009D3B6C" w:rsidP="00085F1A">
      <w:pPr>
        <w:ind w:left="1701" w:right="1256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b/>
          <w:lang w:val="pt-BR"/>
        </w:rPr>
        <w:t xml:space="preserve"> 2o.</w:t>
      </w:r>
      <w:r w:rsidRPr="00D023D1">
        <w:rPr>
          <w:rFonts w:asciiTheme="minorHAnsi" w:hAnsiTheme="minorHAnsi"/>
          <w:b/>
          <w:spacing w:val="-6"/>
          <w:lang w:val="pt-BR"/>
        </w:rPr>
        <w:t xml:space="preserve"> </w:t>
      </w:r>
      <w:r w:rsidRPr="00D023D1">
        <w:rPr>
          <w:rFonts w:asciiTheme="minorHAnsi" w:hAnsiTheme="minorHAnsi"/>
          <w:b/>
          <w:lang w:val="pt-BR"/>
        </w:rPr>
        <w:t>Tesoureiro:</w:t>
      </w:r>
      <w:r w:rsidRPr="00D023D1">
        <w:rPr>
          <w:rFonts w:asciiTheme="minorHAnsi" w:hAnsiTheme="minorHAnsi"/>
          <w:b/>
          <w:spacing w:val="-4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Flávia</w:t>
      </w:r>
      <w:r w:rsidRPr="00D023D1">
        <w:rPr>
          <w:rFonts w:asciiTheme="minorHAnsi" w:hAnsiTheme="minorHAnsi"/>
          <w:spacing w:val="-8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Neri</w:t>
      </w:r>
      <w:r w:rsidRPr="00D023D1">
        <w:rPr>
          <w:rFonts w:asciiTheme="minorHAnsi" w:hAnsiTheme="minorHAnsi"/>
          <w:spacing w:val="-4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Meira</w:t>
      </w:r>
      <w:r w:rsidRPr="00D023D1">
        <w:rPr>
          <w:rFonts w:asciiTheme="minorHAnsi" w:hAnsiTheme="minorHAnsi"/>
          <w:spacing w:val="-4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de</w:t>
      </w:r>
      <w:r w:rsidRPr="00D023D1">
        <w:rPr>
          <w:rFonts w:asciiTheme="minorHAnsi" w:hAnsiTheme="minorHAnsi"/>
          <w:spacing w:val="-6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Oliveira</w:t>
      </w:r>
      <w:r w:rsidRPr="00D023D1">
        <w:rPr>
          <w:rFonts w:asciiTheme="minorHAnsi" w:hAnsiTheme="minorHAnsi"/>
          <w:spacing w:val="-1"/>
          <w:lang w:val="pt-BR"/>
        </w:rPr>
        <w:t xml:space="preserve"> </w:t>
      </w:r>
      <w:r w:rsidRPr="00D023D1">
        <w:rPr>
          <w:rFonts w:asciiTheme="minorHAnsi" w:hAnsiTheme="minorHAnsi"/>
          <w:lang w:val="pt-BR"/>
        </w:rPr>
        <w:t>(CIATox-DF)</w:t>
      </w:r>
    </w:p>
    <w:p w14:paraId="0FD140ED" w14:textId="77777777" w:rsidR="006F532B" w:rsidRPr="00D023D1" w:rsidRDefault="006F532B" w:rsidP="006F532B">
      <w:pPr>
        <w:ind w:left="1111" w:right="1123"/>
        <w:jc w:val="center"/>
        <w:rPr>
          <w:rFonts w:asciiTheme="minorHAnsi" w:hAnsiTheme="minorHAnsi"/>
          <w:b/>
          <w:lang w:val="pt-BR"/>
        </w:rPr>
      </w:pPr>
    </w:p>
    <w:p w14:paraId="4D2E99DB" w14:textId="0B8DF877" w:rsidR="006F532B" w:rsidRPr="00D023D1" w:rsidRDefault="006F532B" w:rsidP="006F532B">
      <w:pPr>
        <w:ind w:left="1111" w:right="1123"/>
        <w:jc w:val="center"/>
        <w:rPr>
          <w:rFonts w:asciiTheme="minorHAnsi" w:hAnsiTheme="minorHAnsi"/>
          <w:b/>
          <w:spacing w:val="-2"/>
          <w:lang w:val="pt-BR"/>
        </w:rPr>
      </w:pPr>
      <w:r w:rsidRPr="00D023D1">
        <w:rPr>
          <w:rFonts w:asciiTheme="minorHAnsi" w:hAnsiTheme="minorHAnsi"/>
          <w:b/>
          <w:lang w:val="pt-BR"/>
        </w:rPr>
        <w:t xml:space="preserve">Associação Brasileira de Centros de Informação e Assistência Toxicológica </w:t>
      </w:r>
      <w:r w:rsidR="00C54ABD" w:rsidRPr="00D023D1">
        <w:rPr>
          <w:rFonts w:asciiTheme="minorHAnsi" w:hAnsiTheme="minorHAnsi"/>
          <w:b/>
          <w:lang w:val="pt-BR"/>
        </w:rPr>
        <w:t>–</w:t>
      </w:r>
      <w:r w:rsidRPr="00D023D1">
        <w:rPr>
          <w:rFonts w:asciiTheme="minorHAnsi" w:hAnsiTheme="minorHAnsi"/>
          <w:b/>
          <w:spacing w:val="-6"/>
          <w:lang w:val="pt-BR"/>
        </w:rPr>
        <w:t xml:space="preserve"> </w:t>
      </w:r>
      <w:r w:rsidRPr="00D023D1">
        <w:rPr>
          <w:rFonts w:asciiTheme="minorHAnsi" w:hAnsiTheme="minorHAnsi"/>
          <w:b/>
          <w:spacing w:val="-2"/>
          <w:lang w:val="pt-BR"/>
        </w:rPr>
        <w:t>ABRACIT</w:t>
      </w:r>
    </w:p>
    <w:p w14:paraId="526EA778" w14:textId="1AD507D9" w:rsidR="00C54ABD" w:rsidRPr="00D023D1" w:rsidRDefault="00C54ABD" w:rsidP="00C54ABD">
      <w:pPr>
        <w:spacing w:before="161"/>
        <w:ind w:left="413" w:right="428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lang w:val="pt-BR"/>
        </w:rPr>
        <w:t>CIATox SC, Hospital Universitário, Trindade 88.040-970, Florianópolis/ SC Telefax: (+55 48) 3721 9083</w:t>
      </w:r>
    </w:p>
    <w:p w14:paraId="7A1B8812" w14:textId="383A2E55" w:rsidR="00C54ABD" w:rsidRPr="00D023D1" w:rsidRDefault="00C54ABD" w:rsidP="00C54ABD">
      <w:pPr>
        <w:tabs>
          <w:tab w:val="left" w:pos="2725"/>
        </w:tabs>
        <w:spacing w:before="2"/>
        <w:ind w:right="16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lang w:val="pt-BR"/>
        </w:rPr>
        <w:t>Site: www.abracit.org.br             e-mail:</w:t>
      </w:r>
      <w:r w:rsidRPr="00D023D1">
        <w:rPr>
          <w:rFonts w:asciiTheme="minorHAnsi" w:hAnsiTheme="minorHAnsi"/>
          <w:spacing w:val="3"/>
          <w:lang w:val="pt-BR"/>
        </w:rPr>
        <w:t xml:space="preserve"> </w:t>
      </w:r>
      <w:r w:rsidRPr="00D023D1">
        <w:rPr>
          <w:rFonts w:asciiTheme="minorHAnsi" w:hAnsiTheme="minorHAnsi"/>
          <w:spacing w:val="-2"/>
          <w:lang w:val="pt-BR"/>
        </w:rPr>
        <w:t>abracit@abracit.org,br</w:t>
      </w:r>
    </w:p>
    <w:p w14:paraId="58305D0D" w14:textId="77777777" w:rsidR="00C54ABD" w:rsidRPr="00D023D1" w:rsidRDefault="00C54ABD" w:rsidP="006F532B">
      <w:pPr>
        <w:ind w:left="1111" w:right="1123"/>
        <w:jc w:val="center"/>
        <w:rPr>
          <w:rFonts w:asciiTheme="minorHAnsi" w:hAnsiTheme="minorHAnsi"/>
          <w:b/>
          <w:spacing w:val="-2"/>
          <w:lang w:val="pt-BR"/>
        </w:rPr>
      </w:pPr>
    </w:p>
    <w:p w14:paraId="700D1DDA" w14:textId="0554B614" w:rsidR="00C54ABD" w:rsidRPr="00D023D1" w:rsidRDefault="00C54ABD" w:rsidP="00C54ABD">
      <w:pPr>
        <w:ind w:left="1701" w:right="1793"/>
        <w:jc w:val="center"/>
        <w:rPr>
          <w:rFonts w:asciiTheme="minorHAnsi" w:hAnsiTheme="minorHAnsi"/>
          <w:b/>
          <w:spacing w:val="40"/>
          <w:lang w:val="pt-BR"/>
        </w:rPr>
      </w:pPr>
      <w:r w:rsidRPr="00D023D1">
        <w:rPr>
          <w:rFonts w:asciiTheme="minorHAnsi" w:hAnsiTheme="minorHAnsi"/>
          <w:b/>
          <w:lang w:val="pt-BR"/>
        </w:rPr>
        <w:t>Diretoria – Biênio 2024-2026</w:t>
      </w:r>
    </w:p>
    <w:p w14:paraId="44678B7D" w14:textId="77777777" w:rsidR="006F532B" w:rsidRPr="00D023D1" w:rsidRDefault="006F532B" w:rsidP="006F532B">
      <w:pPr>
        <w:ind w:left="1701" w:right="1256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b/>
          <w:lang w:val="pt-BR"/>
        </w:rPr>
        <w:t>Diretora Presidente</w:t>
      </w:r>
      <w:r w:rsidRPr="00D023D1">
        <w:rPr>
          <w:rFonts w:asciiTheme="minorHAnsi" w:hAnsiTheme="minorHAnsi"/>
          <w:lang w:val="pt-BR"/>
        </w:rPr>
        <w:t>: Patrícia Drumond - CIATox/Belo Horizonte</w:t>
      </w:r>
    </w:p>
    <w:p w14:paraId="535F06B0" w14:textId="159EFD70" w:rsidR="006F532B" w:rsidRPr="00D023D1" w:rsidRDefault="006F532B" w:rsidP="00D023D1">
      <w:pPr>
        <w:ind w:left="1701" w:right="1111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b/>
          <w:lang w:val="pt-BR"/>
        </w:rPr>
        <w:t>Vice-Diretora Presidente</w:t>
      </w:r>
      <w:r w:rsidRPr="00D023D1">
        <w:rPr>
          <w:rFonts w:asciiTheme="minorHAnsi" w:hAnsiTheme="minorHAnsi"/>
          <w:lang w:val="pt-BR"/>
        </w:rPr>
        <w:t xml:space="preserve">: Sayonara </w:t>
      </w:r>
      <w:r w:rsidR="00D023D1">
        <w:rPr>
          <w:rFonts w:asciiTheme="minorHAnsi" w:hAnsiTheme="minorHAnsi"/>
          <w:lang w:val="pt-BR"/>
        </w:rPr>
        <w:t xml:space="preserve">Maria Lia Fook - CIATox/Campina </w:t>
      </w:r>
      <w:r w:rsidRPr="00D023D1">
        <w:rPr>
          <w:rFonts w:asciiTheme="minorHAnsi" w:hAnsiTheme="minorHAnsi"/>
          <w:lang w:val="pt-BR"/>
        </w:rPr>
        <w:t>Grande</w:t>
      </w:r>
    </w:p>
    <w:p w14:paraId="7F906454" w14:textId="77777777" w:rsidR="006F532B" w:rsidRPr="00D023D1" w:rsidRDefault="006F532B" w:rsidP="006F532B">
      <w:pPr>
        <w:ind w:left="1701" w:right="1256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b/>
          <w:lang w:val="pt-BR"/>
        </w:rPr>
        <w:t>Diretora Secretária</w:t>
      </w:r>
      <w:r w:rsidRPr="00D023D1">
        <w:rPr>
          <w:rFonts w:asciiTheme="minorHAnsi" w:hAnsiTheme="minorHAnsi"/>
          <w:lang w:val="pt-BR"/>
        </w:rPr>
        <w:t>: Mônica de Carvalho Alvim - CIATox/Bahia</w:t>
      </w:r>
    </w:p>
    <w:p w14:paraId="6165D4E9" w14:textId="77777777" w:rsidR="006F532B" w:rsidRPr="00D023D1" w:rsidRDefault="006F532B" w:rsidP="006F532B">
      <w:pPr>
        <w:ind w:left="1701" w:right="1256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b/>
          <w:lang w:val="pt-BR"/>
        </w:rPr>
        <w:t>Diretora Tesoureira</w:t>
      </w:r>
      <w:r w:rsidRPr="00D023D1">
        <w:rPr>
          <w:rFonts w:asciiTheme="minorHAnsi" w:hAnsiTheme="minorHAnsi"/>
          <w:lang w:val="pt-BR"/>
        </w:rPr>
        <w:t>: Jaqueline Fernanda Weber - CIATox/Santa Catarina</w:t>
      </w:r>
    </w:p>
    <w:p w14:paraId="3C20B0E2" w14:textId="1AA5EC27" w:rsidR="006F532B" w:rsidRPr="00D023D1" w:rsidRDefault="006F532B" w:rsidP="006F532B">
      <w:pPr>
        <w:ind w:left="1701" w:right="1256"/>
        <w:jc w:val="center"/>
        <w:rPr>
          <w:rFonts w:asciiTheme="minorHAnsi" w:hAnsiTheme="minorHAnsi"/>
          <w:lang w:val="pt-BR"/>
        </w:rPr>
      </w:pPr>
      <w:r w:rsidRPr="00D023D1">
        <w:rPr>
          <w:rFonts w:asciiTheme="minorHAnsi" w:hAnsiTheme="minorHAnsi"/>
          <w:b/>
          <w:lang w:val="pt-BR"/>
        </w:rPr>
        <w:t>Diretor Científico</w:t>
      </w:r>
      <w:r w:rsidRPr="00D023D1">
        <w:rPr>
          <w:rFonts w:asciiTheme="minorHAnsi" w:hAnsiTheme="minorHAnsi"/>
          <w:lang w:val="pt-BR"/>
        </w:rPr>
        <w:t>: Edmarlon Girotto - CIATox/Londrina</w:t>
      </w:r>
    </w:p>
    <w:p w14:paraId="6ADDE8B6" w14:textId="77777777" w:rsidR="007F5845" w:rsidRDefault="007F5845" w:rsidP="009D3B6C">
      <w:pPr>
        <w:pStyle w:val="Recuodecorpodetexto"/>
        <w:widowControl w:val="0"/>
        <w:tabs>
          <w:tab w:val="left" w:pos="748"/>
        </w:tabs>
        <w:spacing w:after="0" w:line="240" w:lineRule="auto"/>
        <w:ind w:firstLine="61"/>
        <w:jc w:val="center"/>
        <w:rPr>
          <w:rFonts w:ascii="Calibri" w:hAnsi="Calibri" w:cs="Calibri"/>
          <w:bCs/>
          <w:sz w:val="28"/>
          <w:lang w:val="pt-BR"/>
        </w:rPr>
      </w:pPr>
    </w:p>
    <w:p w14:paraId="0F6D7EA4" w14:textId="77777777" w:rsidR="00D023D1" w:rsidRDefault="00D023D1" w:rsidP="009D3B6C">
      <w:pPr>
        <w:pStyle w:val="Recuodecorpodetexto"/>
        <w:widowControl w:val="0"/>
        <w:tabs>
          <w:tab w:val="left" w:pos="748"/>
        </w:tabs>
        <w:spacing w:after="0" w:line="240" w:lineRule="auto"/>
        <w:ind w:firstLine="61"/>
        <w:jc w:val="center"/>
        <w:rPr>
          <w:rFonts w:ascii="Calibri" w:hAnsi="Calibri" w:cs="Calibri"/>
          <w:bCs/>
          <w:sz w:val="28"/>
          <w:lang w:val="pt-BR"/>
        </w:rPr>
      </w:pPr>
    </w:p>
    <w:p w14:paraId="6A35AC70" w14:textId="77777777" w:rsidR="007F5845" w:rsidRDefault="007F5845" w:rsidP="00C16394">
      <w:pPr>
        <w:pStyle w:val="Recuodecorpodetexto"/>
        <w:widowControl w:val="0"/>
        <w:tabs>
          <w:tab w:val="left" w:pos="748"/>
        </w:tabs>
        <w:spacing w:after="0" w:line="240" w:lineRule="auto"/>
        <w:jc w:val="center"/>
        <w:rPr>
          <w:rFonts w:ascii="Calibri" w:hAnsi="Calibri" w:cs="Calibri"/>
          <w:bCs/>
          <w:sz w:val="28"/>
          <w:lang w:val="pt-BR"/>
        </w:rPr>
      </w:pPr>
    </w:p>
    <w:p w14:paraId="6435969C" w14:textId="77777777" w:rsidR="005B0A26" w:rsidRPr="002C271E" w:rsidRDefault="005B0A26" w:rsidP="003E3A5B">
      <w:pPr>
        <w:spacing w:line="276" w:lineRule="auto"/>
        <w:jc w:val="center"/>
        <w:rPr>
          <w:rFonts w:ascii="Calibri" w:hAnsi="Calibri" w:cs="Calibri"/>
          <w:sz w:val="32"/>
          <w:lang w:val="pt-BR"/>
        </w:rPr>
      </w:pPr>
      <w:bookmarkStart w:id="0" w:name="_Toc125971519"/>
      <w:r w:rsidRPr="002C271E">
        <w:rPr>
          <w:rFonts w:ascii="Calibri" w:hAnsi="Calibri" w:cs="Calibri"/>
          <w:sz w:val="32"/>
          <w:lang w:val="pt-BR"/>
        </w:rPr>
        <w:t>SUMÁRIO</w:t>
      </w:r>
    </w:p>
    <w:p w14:paraId="670E0BBC" w14:textId="77777777" w:rsidR="00AB3CEC" w:rsidRDefault="00AB3CEC" w:rsidP="00AB3CEC">
      <w:pPr>
        <w:pStyle w:val="Sumrio2"/>
        <w:pBdr>
          <w:between w:val="none" w:sz="0" w:space="0" w:color="auto"/>
          <w:bar w:val="none" w:sz="0" w:color="auto"/>
        </w:pBdr>
        <w:rPr>
          <w:sz w:val="24"/>
          <w:szCs w:val="24"/>
        </w:rPr>
      </w:pPr>
    </w:p>
    <w:p w14:paraId="2585C880" w14:textId="4FBBFB2A" w:rsidR="00AB3CEC" w:rsidRDefault="005B0A26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  <w:caps/>
        </w:rPr>
      </w:pPr>
      <w:r w:rsidRPr="00440E8F">
        <w:rPr>
          <w:sz w:val="24"/>
          <w:szCs w:val="24"/>
        </w:rPr>
        <w:fldChar w:fldCharType="begin"/>
      </w:r>
      <w:r w:rsidRPr="00440E8F">
        <w:rPr>
          <w:sz w:val="24"/>
          <w:szCs w:val="24"/>
        </w:rPr>
        <w:instrText xml:space="preserve"> TOC \o "1-3" \h \z \u </w:instrText>
      </w:r>
      <w:r w:rsidRPr="00440E8F">
        <w:rPr>
          <w:sz w:val="24"/>
          <w:szCs w:val="24"/>
        </w:rPr>
        <w:fldChar w:fldCharType="separate"/>
      </w:r>
      <w:hyperlink w:anchor="_Toc126750577" w:history="1">
        <w:r w:rsidR="00AB3CEC" w:rsidRPr="00AB782A">
          <w:rPr>
            <w:rStyle w:val="Hyperlink"/>
          </w:rPr>
          <w:t>CONTEXTO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_Toc126750577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</w:t>
        </w:r>
        <w:r w:rsidR="00AB3CEC">
          <w:rPr>
            <w:webHidden/>
          </w:rPr>
          <w:fldChar w:fldCharType="end"/>
        </w:r>
      </w:hyperlink>
    </w:p>
    <w:p w14:paraId="1869A241" w14:textId="178C22AE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78" w:history="1">
        <w:r w:rsidR="00AB3CEC" w:rsidRPr="00AB782A">
          <w:rPr>
            <w:rStyle w:val="Hyperlink"/>
            <w:i/>
            <w:iCs/>
            <w:lang w:val="en-US"/>
          </w:rPr>
          <w:t>N</w:t>
        </w:r>
        <w:r w:rsidR="00AB3CEC" w:rsidRPr="00AB782A">
          <w:rPr>
            <w:rStyle w:val="Hyperlink"/>
            <w:lang w:val="en-US"/>
          </w:rPr>
          <w:t>-ACETILCISTEÍNA (NAC)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_Toc126750578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</w:t>
        </w:r>
        <w:r w:rsidR="00AB3CEC">
          <w:rPr>
            <w:webHidden/>
          </w:rPr>
          <w:fldChar w:fldCharType="end"/>
        </w:r>
      </w:hyperlink>
    </w:p>
    <w:p w14:paraId="27826398" w14:textId="784B4408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79" w:history="1">
        <w:r w:rsidR="00AB3CEC" w:rsidRPr="00AB782A">
          <w:rPr>
            <w:rStyle w:val="Hyperlink"/>
          </w:rPr>
          <w:t>ÁCIDO FOLÍNICO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_Toc126750579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4</w:t>
        </w:r>
        <w:r w:rsidR="00AB3CEC">
          <w:rPr>
            <w:webHidden/>
          </w:rPr>
          <w:fldChar w:fldCharType="end"/>
        </w:r>
      </w:hyperlink>
    </w:p>
    <w:p w14:paraId="503378BD" w14:textId="49DE9D17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80" w:history="1">
        <w:r w:rsidR="00AB3CEC" w:rsidRPr="00AB782A">
          <w:rPr>
            <w:rStyle w:val="Hyperlink"/>
          </w:rPr>
          <w:t>ANTICORPOS ANTI-DIGOXINA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_Toc126750580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5</w:t>
        </w:r>
        <w:r w:rsidR="00AB3CEC">
          <w:rPr>
            <w:webHidden/>
          </w:rPr>
          <w:fldChar w:fldCharType="end"/>
        </w:r>
      </w:hyperlink>
    </w:p>
    <w:p w14:paraId="61ABBF2D" w14:textId="58562CB2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81" w:history="1">
        <w:r w:rsidR="00AB3CEC" w:rsidRPr="00AB782A">
          <w:rPr>
            <w:rStyle w:val="Hyperlink"/>
            <w:lang w:val="en-US"/>
          </w:rPr>
          <w:t>ATROPINA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_Toc126750581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7</w:t>
        </w:r>
        <w:r w:rsidR="00AB3CEC">
          <w:rPr>
            <w:webHidden/>
          </w:rPr>
          <w:fldChar w:fldCharType="end"/>
        </w:r>
      </w:hyperlink>
    </w:p>
    <w:p w14:paraId="14D21D5B" w14:textId="27B4BBCF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82" w:history="1">
        <w:r w:rsidR="00AB3CEC" w:rsidRPr="00AB782A">
          <w:rPr>
            <w:rStyle w:val="Hyperlink"/>
          </w:rPr>
          <w:t>AZUL DE METILENO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_Toc126750582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8</w:t>
        </w:r>
        <w:r w:rsidR="00AB3CEC">
          <w:rPr>
            <w:webHidden/>
          </w:rPr>
          <w:fldChar w:fldCharType="end"/>
        </w:r>
      </w:hyperlink>
    </w:p>
    <w:p w14:paraId="5BBCF723" w14:textId="1A174973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83" w:history="1">
        <w:r w:rsidR="00AB3CEC" w:rsidRPr="00AB782A">
          <w:rPr>
            <w:rStyle w:val="Hyperlink"/>
          </w:rPr>
          <w:t>BICARBONATO DE SÓDIO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_Toc126750583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9</w:t>
        </w:r>
        <w:r w:rsidR="00AB3CEC">
          <w:rPr>
            <w:webHidden/>
          </w:rPr>
          <w:fldChar w:fldCharType="end"/>
        </w:r>
      </w:hyperlink>
    </w:p>
    <w:p w14:paraId="7B61D3B3" w14:textId="0C9D5C45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84" w:history="1">
        <w:r w:rsidR="00AB3CEC" w:rsidRPr="00AB782A">
          <w:rPr>
            <w:rStyle w:val="Hyperlink"/>
            <w:lang w:val="en-US"/>
          </w:rPr>
          <w:t>CARVÃO ATIVADO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_Toc126750584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10</w:t>
        </w:r>
        <w:r w:rsidR="00AB3CEC">
          <w:rPr>
            <w:webHidden/>
          </w:rPr>
          <w:fldChar w:fldCharType="end"/>
        </w:r>
      </w:hyperlink>
    </w:p>
    <w:p w14:paraId="73037FFF" w14:textId="15B20CF7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85" w:history="1">
        <w:r w:rsidR="00AB3CEC" w:rsidRPr="00AB782A">
          <w:rPr>
            <w:rStyle w:val="Hyperlink"/>
          </w:rPr>
          <w:t>CIPROEPTADINA, uso por VO ou SNG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_Toc126750585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11</w:t>
        </w:r>
        <w:r w:rsidR="00AB3CEC">
          <w:rPr>
            <w:webHidden/>
          </w:rPr>
          <w:fldChar w:fldCharType="end"/>
        </w:r>
      </w:hyperlink>
    </w:p>
    <w:p w14:paraId="68525125" w14:textId="3ADC91F1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86" w:history="1">
        <w:r w:rsidR="00AB3CEC" w:rsidRPr="00AB782A">
          <w:rPr>
            <w:rStyle w:val="Hyperlink"/>
            <w:lang w:val="en-US"/>
          </w:rPr>
          <w:t>DANTROLENE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_Toc126750586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11</w:t>
        </w:r>
        <w:r w:rsidR="00AB3CEC">
          <w:rPr>
            <w:webHidden/>
          </w:rPr>
          <w:fldChar w:fldCharType="end"/>
        </w:r>
      </w:hyperlink>
    </w:p>
    <w:p w14:paraId="38FFEDDB" w14:textId="79DD020C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87" w:history="1">
        <w:r w:rsidR="00AB3CEC" w:rsidRPr="00AB782A">
          <w:rPr>
            <w:rStyle w:val="Hyperlink"/>
            <w:lang w:val="en-US"/>
          </w:rPr>
          <w:t>DESFEROXAMINA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_Toc126750587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12</w:t>
        </w:r>
        <w:r w:rsidR="00AB3CEC">
          <w:rPr>
            <w:webHidden/>
          </w:rPr>
          <w:fldChar w:fldCharType="end"/>
        </w:r>
      </w:hyperlink>
    </w:p>
    <w:p w14:paraId="4D54B63C" w14:textId="7801DD1C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88" w:history="1">
        <w:r w:rsidR="00AB3CEC" w:rsidRPr="00AB782A">
          <w:rPr>
            <w:rStyle w:val="Hyperlink"/>
            <w:lang w:val="en-US"/>
          </w:rPr>
          <w:t>DIAZEPAM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_Toc126750588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13</w:t>
        </w:r>
        <w:r w:rsidR="00AB3CEC">
          <w:rPr>
            <w:webHidden/>
          </w:rPr>
          <w:fldChar w:fldCharType="end"/>
        </w:r>
      </w:hyperlink>
    </w:p>
    <w:p w14:paraId="45E0072B" w14:textId="789CD81B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89" w:history="1">
        <w:r w:rsidR="00AB3CEC" w:rsidRPr="00AB782A">
          <w:rPr>
            <w:rStyle w:val="Hyperlink"/>
            <w:lang w:val="en-US"/>
          </w:rPr>
          <w:t>DIFENIDRAMINA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_Toc126750589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13</w:t>
        </w:r>
        <w:r w:rsidR="00AB3CEC">
          <w:rPr>
            <w:webHidden/>
          </w:rPr>
          <w:fldChar w:fldCharType="end"/>
        </w:r>
      </w:hyperlink>
    </w:p>
    <w:p w14:paraId="3E7FE1A0" w14:textId="7B816C47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90" w:history="1">
        <w:r w:rsidR="00AB3CEC" w:rsidRPr="00AB782A">
          <w:rPr>
            <w:rStyle w:val="Hyperlink"/>
          </w:rPr>
          <w:t>DMSA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_Toc126750590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13</w:t>
        </w:r>
        <w:r w:rsidR="00AB3CEC">
          <w:rPr>
            <w:webHidden/>
          </w:rPr>
          <w:fldChar w:fldCharType="end"/>
        </w:r>
      </w:hyperlink>
    </w:p>
    <w:p w14:paraId="4AFF8B45" w14:textId="2F23D6B5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91" w:history="1">
        <w:r w:rsidR="00AB3CEC" w:rsidRPr="00AB782A">
          <w:rPr>
            <w:rStyle w:val="Hyperlink"/>
          </w:rPr>
          <w:t>EDETATO CÁLCICO DISSÓDICO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_Toc126750591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15</w:t>
        </w:r>
        <w:r w:rsidR="00AB3CEC">
          <w:rPr>
            <w:webHidden/>
          </w:rPr>
          <w:fldChar w:fldCharType="end"/>
        </w:r>
      </w:hyperlink>
    </w:p>
    <w:p w14:paraId="488EAF3B" w14:textId="01D39FC9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92" w:history="1">
        <w:r w:rsidR="00AB3CEC" w:rsidRPr="00AB782A">
          <w:rPr>
            <w:rStyle w:val="Hyperlink"/>
            <w:lang w:val="en-US"/>
          </w:rPr>
          <w:t>EMULSÃO LIPÍDICA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_Toc126750592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16</w:t>
        </w:r>
        <w:r w:rsidR="00AB3CEC">
          <w:rPr>
            <w:webHidden/>
          </w:rPr>
          <w:fldChar w:fldCharType="end"/>
        </w:r>
      </w:hyperlink>
    </w:p>
    <w:p w14:paraId="24E54A1E" w14:textId="0CF09B6C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93" w:history="1">
        <w:r w:rsidR="00AB3CEC" w:rsidRPr="00AB782A">
          <w:rPr>
            <w:rStyle w:val="Hyperlink"/>
            <w:lang w:val="en-US"/>
          </w:rPr>
          <w:t>ETANOL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_Toc126750593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16</w:t>
        </w:r>
        <w:r w:rsidR="00AB3CEC">
          <w:rPr>
            <w:webHidden/>
          </w:rPr>
          <w:fldChar w:fldCharType="end"/>
        </w:r>
      </w:hyperlink>
    </w:p>
    <w:p w14:paraId="0B593905" w14:textId="05874485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94" w:history="1">
        <w:r w:rsidR="00AB3CEC" w:rsidRPr="00AB782A">
          <w:rPr>
            <w:rStyle w:val="Hyperlink"/>
            <w:lang w:val="en-US"/>
          </w:rPr>
          <w:t>FLUMAZENIL,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_Toc126750594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17</w:t>
        </w:r>
        <w:r w:rsidR="00AB3CEC">
          <w:rPr>
            <w:webHidden/>
          </w:rPr>
          <w:fldChar w:fldCharType="end"/>
        </w:r>
      </w:hyperlink>
    </w:p>
    <w:p w14:paraId="78ED194E" w14:textId="495D2A84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95" w:history="1">
        <w:r w:rsidR="00AB3CEC" w:rsidRPr="00AB782A">
          <w:rPr>
            <w:rStyle w:val="Hyperlink"/>
            <w:lang w:val="en-US"/>
          </w:rPr>
          <w:t>FOMEPIZOLE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_Toc126750595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19</w:t>
        </w:r>
        <w:r w:rsidR="00AB3CEC">
          <w:rPr>
            <w:webHidden/>
          </w:rPr>
          <w:fldChar w:fldCharType="end"/>
        </w:r>
      </w:hyperlink>
    </w:p>
    <w:p w14:paraId="3AF0B0C9" w14:textId="315C6454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96" w:history="1">
        <w:r w:rsidR="00AB3CEC" w:rsidRPr="00AB782A">
          <w:rPr>
            <w:rStyle w:val="Hyperlink"/>
            <w:lang w:val="en-US"/>
          </w:rPr>
          <w:t>GLICOSE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_Toc126750596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19</w:t>
        </w:r>
        <w:r w:rsidR="00AB3CEC">
          <w:rPr>
            <w:webHidden/>
          </w:rPr>
          <w:fldChar w:fldCharType="end"/>
        </w:r>
      </w:hyperlink>
    </w:p>
    <w:p w14:paraId="3EBAD4C7" w14:textId="175129CA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97" w:history="1">
        <w:r w:rsidR="00AB3CEC" w:rsidRPr="00AB782A">
          <w:rPr>
            <w:rStyle w:val="Hyperlink"/>
            <w:lang w:val="en-US"/>
          </w:rPr>
          <w:t>GLUCONATO DE CÁLCIO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_Toc126750597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20</w:t>
        </w:r>
        <w:r w:rsidR="00AB3CEC">
          <w:rPr>
            <w:webHidden/>
          </w:rPr>
          <w:fldChar w:fldCharType="end"/>
        </w:r>
      </w:hyperlink>
    </w:p>
    <w:p w14:paraId="2081B441" w14:textId="1FBCF709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98" w:history="1">
        <w:r w:rsidR="00AB3CEC" w:rsidRPr="00AB782A">
          <w:rPr>
            <w:rStyle w:val="Hyperlink"/>
            <w:lang w:val="en-US"/>
          </w:rPr>
          <w:t>HIDROXICOBALAMINA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_Toc126750598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22</w:t>
        </w:r>
        <w:r w:rsidR="00AB3CEC">
          <w:rPr>
            <w:webHidden/>
          </w:rPr>
          <w:fldChar w:fldCharType="end"/>
        </w:r>
      </w:hyperlink>
    </w:p>
    <w:p w14:paraId="2AECF2E9" w14:textId="2F5DE724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599" w:history="1">
        <w:r w:rsidR="00AB3CEC" w:rsidRPr="00AB782A">
          <w:rPr>
            <w:rStyle w:val="Hyperlink"/>
            <w:lang w:val="en-US"/>
          </w:rPr>
          <w:t>IDARUCIZUMABE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_Toc126750599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23</w:t>
        </w:r>
        <w:r w:rsidR="00AB3CEC">
          <w:rPr>
            <w:webHidden/>
          </w:rPr>
          <w:fldChar w:fldCharType="end"/>
        </w:r>
      </w:hyperlink>
    </w:p>
    <w:p w14:paraId="5F2FB18E" w14:textId="407925DF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00" w:history="1">
        <w:r w:rsidR="00AB3CEC" w:rsidRPr="00AB782A">
          <w:rPr>
            <w:rStyle w:val="Hyperlink"/>
          </w:rPr>
          <w:t>INSULINA EM DOSES ELEVADAS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_Toc126750600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23</w:t>
        </w:r>
        <w:r w:rsidR="00AB3CEC">
          <w:rPr>
            <w:webHidden/>
          </w:rPr>
          <w:fldChar w:fldCharType="end"/>
        </w:r>
      </w:hyperlink>
    </w:p>
    <w:p w14:paraId="43BB776B" w14:textId="02AEB508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01" w:history="1">
        <w:r w:rsidR="00AB3CEC" w:rsidRPr="00AB782A">
          <w:rPr>
            <w:rStyle w:val="Hyperlink"/>
          </w:rPr>
          <w:t>L-CARNITINA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_Toc126750601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24</w:t>
        </w:r>
        <w:r w:rsidR="00AB3CEC">
          <w:rPr>
            <w:webHidden/>
          </w:rPr>
          <w:fldChar w:fldCharType="end"/>
        </w:r>
      </w:hyperlink>
    </w:p>
    <w:p w14:paraId="09E10DC1" w14:textId="03639F4B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02" w:history="1">
        <w:r w:rsidR="00AB3CEC" w:rsidRPr="00AB782A">
          <w:rPr>
            <w:rStyle w:val="Hyperlink"/>
            <w:lang w:val="en-US"/>
          </w:rPr>
          <w:t>NALOXONA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_Toc126750602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25</w:t>
        </w:r>
        <w:r w:rsidR="00AB3CEC">
          <w:rPr>
            <w:webHidden/>
          </w:rPr>
          <w:fldChar w:fldCharType="end"/>
        </w:r>
      </w:hyperlink>
    </w:p>
    <w:p w14:paraId="19D95C57" w14:textId="1FE2BA3F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03" w:history="1">
        <w:r w:rsidR="00AB3CEC" w:rsidRPr="00AB782A">
          <w:rPr>
            <w:rStyle w:val="Hyperlink"/>
          </w:rPr>
          <w:t>NEOSTIGMINA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_Toc126750603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27</w:t>
        </w:r>
        <w:r w:rsidR="00AB3CEC">
          <w:rPr>
            <w:webHidden/>
          </w:rPr>
          <w:fldChar w:fldCharType="end"/>
        </w:r>
      </w:hyperlink>
    </w:p>
    <w:p w14:paraId="42B82410" w14:textId="580FBD9F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04" w:history="1">
        <w:r w:rsidR="00AB3CEC" w:rsidRPr="00AB782A">
          <w:rPr>
            <w:rStyle w:val="Hyperlink"/>
          </w:rPr>
          <w:t>NITRITO DE SÓDIO</w:t>
        </w:r>
        <w:r w:rsidR="00700B37">
          <w:rPr>
            <w:rStyle w:val="Hyperlink"/>
          </w:rPr>
          <w:t xml:space="preserve"> E TIOSSULATO DE SÓDIO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_Toc126750604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28</w:t>
        </w:r>
        <w:r w:rsidR="00AB3CEC">
          <w:rPr>
            <w:webHidden/>
          </w:rPr>
          <w:fldChar w:fldCharType="end"/>
        </w:r>
      </w:hyperlink>
    </w:p>
    <w:p w14:paraId="2D4C44F8" w14:textId="6EEA56EF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05" w:history="1">
        <w:r w:rsidR="00AB3CEC" w:rsidRPr="00AB782A">
          <w:rPr>
            <w:rStyle w:val="Hyperlink"/>
            <w:lang w:val="en-US"/>
          </w:rPr>
          <w:t>OCTREOTIDA,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_Toc126750605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30</w:t>
        </w:r>
        <w:r w:rsidR="00AB3CEC">
          <w:rPr>
            <w:webHidden/>
          </w:rPr>
          <w:fldChar w:fldCharType="end"/>
        </w:r>
      </w:hyperlink>
    </w:p>
    <w:p w14:paraId="61FE98B0" w14:textId="2F161300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06" w:history="1">
        <w:r w:rsidR="00AB3CEC" w:rsidRPr="00AB782A">
          <w:rPr>
            <w:rStyle w:val="Hyperlink"/>
            <w:lang w:val="en-US"/>
          </w:rPr>
          <w:t>PIRIDOXINA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_Toc126750606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30</w:t>
        </w:r>
        <w:r w:rsidR="00AB3CEC">
          <w:rPr>
            <w:webHidden/>
          </w:rPr>
          <w:fldChar w:fldCharType="end"/>
        </w:r>
      </w:hyperlink>
    </w:p>
    <w:p w14:paraId="7F34736C" w14:textId="7CE3AA5B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07" w:history="1">
        <w:r w:rsidR="00AB3CEC" w:rsidRPr="00AB782A">
          <w:rPr>
            <w:rStyle w:val="Hyperlink"/>
          </w:rPr>
          <w:t>PROTAMINA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_Toc126750607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31</w:t>
        </w:r>
        <w:r w:rsidR="00AB3CEC">
          <w:rPr>
            <w:webHidden/>
          </w:rPr>
          <w:fldChar w:fldCharType="end"/>
        </w:r>
      </w:hyperlink>
    </w:p>
    <w:p w14:paraId="1A3CEE1F" w14:textId="450B7093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08" w:history="1">
        <w:r w:rsidR="00AB3CEC" w:rsidRPr="00AB782A">
          <w:rPr>
            <w:rStyle w:val="Hyperlink"/>
          </w:rPr>
          <w:t>SOLUÇÃO ELETROLITICAMENTE BALANCEADA DE POLIETILENOGLICOL PARA IRRIGAÇÃO INTESTINAL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_Toc126750608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33</w:t>
        </w:r>
        <w:r w:rsidR="00AB3CEC">
          <w:rPr>
            <w:webHidden/>
          </w:rPr>
          <w:fldChar w:fldCharType="end"/>
        </w:r>
      </w:hyperlink>
    </w:p>
    <w:p w14:paraId="2E87E6B7" w14:textId="62EA99A2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09" w:history="1">
        <w:r w:rsidR="00AB3CEC" w:rsidRPr="00AB782A">
          <w:rPr>
            <w:rStyle w:val="Hyperlink"/>
            <w:lang w:val="en-US"/>
          </w:rPr>
          <w:t>SULFATO DE MAGNÉSIO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_Toc126750609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34</w:t>
        </w:r>
        <w:r w:rsidR="00AB3CEC">
          <w:rPr>
            <w:webHidden/>
          </w:rPr>
          <w:fldChar w:fldCharType="end"/>
        </w:r>
      </w:hyperlink>
    </w:p>
    <w:p w14:paraId="2EAAD0F3" w14:textId="5D14BAB6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10" w:history="1">
        <w:r w:rsidR="00AB3CEC" w:rsidRPr="00AB782A">
          <w:rPr>
            <w:rStyle w:val="Hyperlink"/>
            <w:lang w:val="en-US"/>
          </w:rPr>
          <w:t>VITAMINA K1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_Toc126750610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35</w:t>
        </w:r>
        <w:r w:rsidR="00AB3CEC">
          <w:rPr>
            <w:webHidden/>
          </w:rPr>
          <w:fldChar w:fldCharType="end"/>
        </w:r>
      </w:hyperlink>
    </w:p>
    <w:p w14:paraId="6A1EC547" w14:textId="7F4BB04E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11" w:history="1">
        <w:r w:rsidR="00AB3CEC" w:rsidRPr="00AB782A">
          <w:rPr>
            <w:rStyle w:val="Hyperlink"/>
            <w:lang w:val="en-US"/>
          </w:rPr>
          <w:t>OBSERVAÇÕES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_Toc126750611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36</w:t>
        </w:r>
        <w:r w:rsidR="00AB3CEC">
          <w:rPr>
            <w:webHidden/>
          </w:rPr>
          <w:fldChar w:fldCharType="end"/>
        </w:r>
      </w:hyperlink>
    </w:p>
    <w:p w14:paraId="39832E2D" w14:textId="15B79886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12" w:history="1">
        <w:r w:rsidR="00AB3CEC" w:rsidRPr="00AB782A">
          <w:rPr>
            <w:rStyle w:val="Hyperlink"/>
            <w:lang w:val="en-US"/>
          </w:rPr>
          <w:t>REFERÊNCIAS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_Toc126750612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38</w:t>
        </w:r>
        <w:r w:rsidR="00AB3CEC">
          <w:rPr>
            <w:webHidden/>
          </w:rPr>
          <w:fldChar w:fldCharType="end"/>
        </w:r>
      </w:hyperlink>
    </w:p>
    <w:p w14:paraId="788F5813" w14:textId="3F630DA5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13" w:history="1">
        <w:r w:rsidR="00AB3CEC" w:rsidRPr="00AB782A">
          <w:rPr>
            <w:rStyle w:val="Hyperlink"/>
          </w:rPr>
          <w:t>ANEXO 1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_Toc126750613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39</w:t>
        </w:r>
        <w:r w:rsidR="00AB3CEC">
          <w:rPr>
            <w:webHidden/>
          </w:rPr>
          <w:fldChar w:fldCharType="end"/>
        </w:r>
      </w:hyperlink>
    </w:p>
    <w:p w14:paraId="2E32C80A" w14:textId="560F38EC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14" w:history="1">
        <w:r w:rsidR="00AB3CEC" w:rsidRPr="00AB782A">
          <w:rPr>
            <w:rStyle w:val="Hyperlink"/>
          </w:rPr>
          <w:t>Critérios para indicação do uso da</w:t>
        </w:r>
        <w:r w:rsidR="00AB3CEC" w:rsidRPr="00AB782A">
          <w:rPr>
            <w:rStyle w:val="Hyperlink"/>
            <w:i/>
            <w:iCs/>
          </w:rPr>
          <w:t xml:space="preserve"> N</w:t>
        </w:r>
        <w:r w:rsidR="00AB3CEC" w:rsidRPr="00AB782A">
          <w:rPr>
            <w:rStyle w:val="Hyperlink"/>
          </w:rPr>
          <w:t>-Acetilcisteína (NAC)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_Toc126750614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39</w:t>
        </w:r>
        <w:r w:rsidR="00AB3CEC">
          <w:rPr>
            <w:webHidden/>
          </w:rPr>
          <w:fldChar w:fldCharType="end"/>
        </w:r>
      </w:hyperlink>
    </w:p>
    <w:p w14:paraId="6D30FA47" w14:textId="2107A89A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15" w:history="1">
        <w:r w:rsidR="00AB3CEC" w:rsidRPr="00AB782A">
          <w:rPr>
            <w:rStyle w:val="Hyperlink"/>
          </w:rPr>
          <w:t>ANEXO 2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_Toc126750615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40</w:t>
        </w:r>
        <w:r w:rsidR="00AB3CEC">
          <w:rPr>
            <w:webHidden/>
          </w:rPr>
          <w:fldChar w:fldCharType="end"/>
        </w:r>
      </w:hyperlink>
    </w:p>
    <w:p w14:paraId="0AFE5D0C" w14:textId="3DDBE0E1" w:rsidR="00AB3CEC" w:rsidRDefault="00465699" w:rsidP="00C834E4">
      <w:pPr>
        <w:pStyle w:val="Sumrio2"/>
        <w:pBdr>
          <w:between w:val="none" w:sz="0" w:space="0" w:color="auto"/>
          <w:bar w:val="none" w:sz="0" w:color="auto"/>
        </w:pBdr>
        <w:tabs>
          <w:tab w:val="left" w:pos="2694"/>
        </w:tabs>
        <w:rPr>
          <w:rFonts w:cs="Times New Roman"/>
          <w:b w:val="0"/>
          <w:bCs w:val="0"/>
        </w:rPr>
      </w:pPr>
      <w:hyperlink w:anchor="_Toc126750616" w:history="1">
        <w:r w:rsidR="00AB3CEC" w:rsidRPr="00AB782A">
          <w:rPr>
            <w:rStyle w:val="Hyperlink"/>
          </w:rPr>
          <w:t>Nomograma da concentração plasmática do paracetamol para avaliar a necessidade do uso da NAC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_Toc126750616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40</w:t>
        </w:r>
        <w:r w:rsidR="00AB3CEC">
          <w:rPr>
            <w:webHidden/>
          </w:rPr>
          <w:fldChar w:fldCharType="end"/>
        </w:r>
      </w:hyperlink>
    </w:p>
    <w:p w14:paraId="5B445486" w14:textId="374EF5C6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17" w:history="1">
        <w:r w:rsidR="00AB3CEC" w:rsidRPr="00AB782A">
          <w:rPr>
            <w:rStyle w:val="Hyperlink"/>
          </w:rPr>
          <w:t>ANEXO 3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_Toc126750617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41</w:t>
        </w:r>
        <w:r w:rsidR="00AB3CEC">
          <w:rPr>
            <w:webHidden/>
          </w:rPr>
          <w:fldChar w:fldCharType="end"/>
        </w:r>
      </w:hyperlink>
    </w:p>
    <w:p w14:paraId="676B773D" w14:textId="6B378531" w:rsidR="00AB3CEC" w:rsidRDefault="00465699" w:rsidP="00AB3CEC">
      <w:pPr>
        <w:pStyle w:val="Sumrio2"/>
        <w:pBdr>
          <w:between w:val="none" w:sz="0" w:space="0" w:color="auto"/>
          <w:bar w:val="none" w:sz="0" w:color="auto"/>
        </w:pBdr>
        <w:rPr>
          <w:rFonts w:cs="Times New Roman"/>
          <w:b w:val="0"/>
          <w:bCs w:val="0"/>
        </w:rPr>
      </w:pPr>
      <w:hyperlink w:anchor="_Toc126750618" w:history="1">
        <w:r w:rsidR="00AB3CEC" w:rsidRPr="00AB782A">
          <w:rPr>
            <w:rStyle w:val="Hyperlink"/>
          </w:rPr>
          <w:t xml:space="preserve">Esquema de infusão IV de 2 bolsas de NAC em 12h (esquema SNAP, </w:t>
        </w:r>
        <w:r w:rsidR="00AB3CEC" w:rsidRPr="00AB782A">
          <w:rPr>
            <w:rStyle w:val="Hyperlink"/>
            <w:i/>
            <w:iCs/>
          </w:rPr>
          <w:t>The Scottish and Newcastle Acetylcysteine Protocol</w:t>
        </w:r>
        <w:r w:rsidR="00AB3CEC" w:rsidRPr="00AB782A">
          <w:rPr>
            <w:rStyle w:val="Hyperlink"/>
          </w:rPr>
          <w:t>). Critérios para descontinuar ou prosseguir com a NAC após o término da infusão da 2ª bolsa.</w:t>
        </w:r>
        <w:r w:rsidR="00AB3CEC">
          <w:rPr>
            <w:webHidden/>
          </w:rPr>
          <w:tab/>
        </w:r>
        <w:r w:rsidR="00AB3CEC">
          <w:rPr>
            <w:webHidden/>
          </w:rPr>
          <w:fldChar w:fldCharType="begin"/>
        </w:r>
        <w:r w:rsidR="00AB3CEC">
          <w:rPr>
            <w:webHidden/>
          </w:rPr>
          <w:instrText xml:space="preserve"> PAGEREF _Toc126750618 \h </w:instrText>
        </w:r>
        <w:r w:rsidR="00AB3CEC">
          <w:rPr>
            <w:webHidden/>
          </w:rPr>
        </w:r>
        <w:r w:rsidR="00AB3CEC">
          <w:rPr>
            <w:webHidden/>
          </w:rPr>
          <w:fldChar w:fldCharType="separate"/>
        </w:r>
        <w:r w:rsidR="00DE632C">
          <w:rPr>
            <w:webHidden/>
          </w:rPr>
          <w:t>41</w:t>
        </w:r>
        <w:r w:rsidR="00AB3CEC">
          <w:rPr>
            <w:webHidden/>
          </w:rPr>
          <w:fldChar w:fldCharType="end"/>
        </w:r>
      </w:hyperlink>
    </w:p>
    <w:p w14:paraId="566B355F" w14:textId="20CA41D8" w:rsidR="005B0A26" w:rsidRPr="00440E8F" w:rsidRDefault="005B0A26" w:rsidP="00AB3CEC">
      <w:pPr>
        <w:rPr>
          <w:b/>
          <w:bCs/>
        </w:rPr>
      </w:pPr>
      <w:r w:rsidRPr="00440E8F">
        <w:rPr>
          <w:b/>
          <w:bCs/>
        </w:rPr>
        <w:fldChar w:fldCharType="end"/>
      </w:r>
    </w:p>
    <w:p w14:paraId="69EB66A2" w14:textId="77777777" w:rsidR="00A63344" w:rsidRPr="00440E8F" w:rsidRDefault="00A63344" w:rsidP="00440E8F">
      <w:pPr>
        <w:rPr>
          <w:rStyle w:val="Ttulo2Char"/>
          <w:rFonts w:ascii="Calibri" w:hAnsi="Calibri" w:cs="Calibri"/>
        </w:rPr>
      </w:pPr>
    </w:p>
    <w:bookmarkEnd w:id="0"/>
    <w:p w14:paraId="1FC1DC89" w14:textId="77777777" w:rsidR="009807A5" w:rsidRDefault="009807A5" w:rsidP="00961DB5">
      <w:pPr>
        <w:pStyle w:val="Recuodecorpodetexto"/>
        <w:widowControl w:val="0"/>
        <w:tabs>
          <w:tab w:val="left" w:pos="748"/>
        </w:tabs>
        <w:spacing w:after="0" w:line="240" w:lineRule="auto"/>
        <w:ind w:left="1134" w:right="850"/>
        <w:rPr>
          <w:rFonts w:ascii="Calibri" w:hAnsi="Calibri" w:cs="Calibri"/>
          <w:bCs/>
          <w:sz w:val="28"/>
          <w:lang w:val="pt-BR"/>
        </w:rPr>
        <w:sectPr w:rsidR="009807A5" w:rsidSect="0010648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720" w:right="720" w:bottom="720" w:left="720" w:header="709" w:footer="0" w:gutter="0"/>
          <w:pgNumType w:start="1" w:chapStyle="1"/>
          <w:cols w:space="708"/>
          <w:titlePg/>
          <w:docGrid w:linePitch="360"/>
        </w:sectPr>
      </w:pPr>
    </w:p>
    <w:p w14:paraId="2B0CBDE3" w14:textId="3D11D9D0" w:rsidR="009807A5" w:rsidRPr="00AB3CEC" w:rsidRDefault="009807A5" w:rsidP="00AB3CEC">
      <w:pPr>
        <w:rPr>
          <w:rStyle w:val="Ttulo2Char"/>
          <w:rFonts w:ascii="Calibri" w:hAnsi="Calibri" w:cs="Calibri"/>
          <w:bCs w:val="0"/>
        </w:rPr>
      </w:pPr>
      <w:bookmarkStart w:id="1" w:name="_Toc126746416"/>
      <w:bookmarkStart w:id="2" w:name="_Toc126746565"/>
      <w:bookmarkStart w:id="3" w:name="_Toc126750576"/>
      <w:bookmarkStart w:id="4" w:name="_Toc126746415"/>
      <w:bookmarkStart w:id="5" w:name="_Toc126746564"/>
      <w:r w:rsidRPr="00AB3CEC">
        <w:rPr>
          <w:rStyle w:val="Ttulo2Char"/>
          <w:rFonts w:ascii="Calibri" w:hAnsi="Calibri" w:cs="Calibri"/>
          <w:bCs w:val="0"/>
        </w:rPr>
        <w:t>ABREVIATURAS E SIGLAS UTILIZADAS</w:t>
      </w:r>
      <w:bookmarkEnd w:id="1"/>
      <w:bookmarkEnd w:id="2"/>
      <w:bookmarkEnd w:id="3"/>
    </w:p>
    <w:p w14:paraId="22DD77A5" w14:textId="77777777" w:rsidR="009807A5" w:rsidRDefault="009807A5" w:rsidP="009807A5">
      <w:pPr>
        <w:spacing w:line="276" w:lineRule="auto"/>
        <w:rPr>
          <w:rFonts w:ascii="Calibri" w:hAnsi="Calibri"/>
          <w:szCs w:val="22"/>
          <w:lang w:val="pt-BR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3939"/>
      </w:tblGrid>
      <w:tr w:rsidR="00C834E4" w:rsidRPr="004A5221" w14:paraId="123255C0" w14:textId="77777777" w:rsidTr="004A5221">
        <w:trPr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2543C80A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 xml:space="preserve">ABA: </w:t>
            </w:r>
            <w:r w:rsidRPr="001002B0">
              <w:rPr>
                <w:rFonts w:ascii="Calibri" w:hAnsi="Calibri"/>
                <w:bCs/>
                <w:iCs/>
                <w:szCs w:val="22"/>
                <w:lang w:val="pt-BR"/>
              </w:rPr>
              <w:t>antagonistas beta-adrenérgicos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5DEBF8" w14:textId="01876E7C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HNF: heparina não fracionada</w:t>
            </w:r>
            <w:r w:rsidRPr="001002B0" w:rsidDel="006945E3">
              <w:rPr>
                <w:rFonts w:ascii="Calibri" w:hAnsi="Calibri"/>
                <w:szCs w:val="22"/>
                <w:lang w:val="pt-BR"/>
              </w:rPr>
              <w:t xml:space="preserve"> </w:t>
            </w:r>
          </w:p>
        </w:tc>
      </w:tr>
      <w:tr w:rsidR="00C834E4" w:rsidRPr="0089272C" w14:paraId="08F9BE96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0105342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Ach: acetilcolina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6E0C4" w14:textId="43A63C46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IAM: infarto agudo do miocárdio</w:t>
            </w:r>
          </w:p>
        </w:tc>
      </w:tr>
      <w:tr w:rsidR="00C834E4" w:rsidRPr="004A5221" w14:paraId="1F07C68E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0112BE0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AD: água destilada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CD10BB" w14:textId="5B63303B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 xml:space="preserve">IC: infusão contínua </w:t>
            </w:r>
          </w:p>
        </w:tc>
      </w:tr>
      <w:tr w:rsidR="00C834E4" w:rsidRPr="001002B0" w14:paraId="0577981D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858E94A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AM: azul de metileno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FA7C18" w14:textId="073E34D5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 xml:space="preserve">inj.: injetável </w:t>
            </w:r>
          </w:p>
        </w:tc>
      </w:tr>
      <w:tr w:rsidR="00C834E4" w:rsidRPr="001002B0" w14:paraId="34E6418A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8133985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 xml:space="preserve">BCC: </w:t>
            </w:r>
            <w:r w:rsidRPr="001002B0">
              <w:rPr>
                <w:rFonts w:ascii="Calibri" w:hAnsi="Calibri"/>
                <w:bCs/>
                <w:iCs/>
                <w:szCs w:val="22"/>
                <w:lang w:val="pt-BR"/>
              </w:rPr>
              <w:t>bloqueadores de canal de cálcio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928ADD" w14:textId="787D8A58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INH: isoniazida</w:t>
            </w:r>
          </w:p>
        </w:tc>
      </w:tr>
      <w:tr w:rsidR="00C834E4" w:rsidRPr="001002B0" w14:paraId="6087F2C5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06D0B5A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BZD: benzodiazepínicos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59225B" w14:textId="0331504D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IV: intravenosa</w:t>
            </w:r>
          </w:p>
        </w:tc>
      </w:tr>
      <w:tr w:rsidR="00C834E4" w:rsidRPr="006945E3" w14:paraId="4FD0C693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A7962BB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CA: carvão ativado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CD80BD" w14:textId="15E2570B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 xml:space="preserve">NAC: </w:t>
            </w:r>
            <w:r w:rsidRPr="001002B0">
              <w:rPr>
                <w:rFonts w:ascii="Calibri" w:hAnsi="Calibri"/>
                <w:i/>
                <w:szCs w:val="22"/>
                <w:lang w:val="pt-BR"/>
              </w:rPr>
              <w:t>N-</w:t>
            </w:r>
            <w:r w:rsidRPr="001002B0">
              <w:rPr>
                <w:rFonts w:ascii="Calibri" w:hAnsi="Calibri"/>
                <w:szCs w:val="22"/>
                <w:lang w:val="pt-BR"/>
              </w:rPr>
              <w:t>Acetilcisteína</w:t>
            </w:r>
          </w:p>
        </w:tc>
      </w:tr>
      <w:tr w:rsidR="00C834E4" w:rsidRPr="0089272C" w14:paraId="03880A8F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75ECF3F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CEC: circuito de circulação extracorpórea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414F32" w14:textId="2731F5E6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NAPQI: N-acetil-p-benzoquinonaimina</w:t>
            </w:r>
          </w:p>
        </w:tc>
      </w:tr>
      <w:tr w:rsidR="00C834E4" w:rsidRPr="0089272C" w14:paraId="3A775967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509B7D0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comp.: comprimido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DD7251" w14:textId="6ED77399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>
              <w:rPr>
                <w:rFonts w:ascii="Calibri" w:hAnsi="Calibri"/>
                <w:szCs w:val="22"/>
                <w:lang w:val="pt-BR"/>
              </w:rPr>
              <w:t>OMS: Organização Mundial de Saúde</w:t>
            </w:r>
          </w:p>
        </w:tc>
      </w:tr>
      <w:tr w:rsidR="00C834E4" w:rsidRPr="001002B0" w14:paraId="2E156A6B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FADA54E" w14:textId="0DDBE6F2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>
              <w:rPr>
                <w:rFonts w:ascii="Calibri" w:hAnsi="Calibri"/>
                <w:szCs w:val="22"/>
                <w:lang w:val="pt-BR"/>
              </w:rPr>
              <w:t>CIATox: C</w:t>
            </w:r>
            <w:r w:rsidRPr="004A5221">
              <w:rPr>
                <w:rFonts w:ascii="Calibri" w:hAnsi="Calibri"/>
                <w:szCs w:val="22"/>
                <w:lang w:val="pt-BR"/>
              </w:rPr>
              <w:t>entro de Informação e Assistência Toxicológica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AB4F7F" w14:textId="3AD964AB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PCR: parada cardiorrespiratória</w:t>
            </w:r>
          </w:p>
        </w:tc>
      </w:tr>
      <w:tr w:rsidR="00C834E4" w:rsidRPr="001002B0" w14:paraId="5AC8668A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465C876" w14:textId="4DBA5D8D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CN: cianeto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81B34" w14:textId="40F7C87E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RCP: ressuscitação cardiopulmonar</w:t>
            </w:r>
          </w:p>
        </w:tc>
      </w:tr>
      <w:tr w:rsidR="00C834E4" w:rsidRPr="006945E3" w14:paraId="49B88150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6A055F4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DFO: desferoxamina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0E2544" w14:textId="6FF32AC8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SC: subcutânea</w:t>
            </w:r>
          </w:p>
        </w:tc>
      </w:tr>
      <w:tr w:rsidR="00C834E4" w:rsidRPr="0089272C" w14:paraId="3CD15CEE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645AB36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DMCA: doses múltiplas de carvão ativado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C60597" w14:textId="5EBD3876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SF: solução de cloreto de sódio a 0,9%</w:t>
            </w:r>
          </w:p>
        </w:tc>
      </w:tr>
      <w:tr w:rsidR="00C834E4" w:rsidRPr="001002B0" w14:paraId="29F33E9B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6E6DFAA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DMSA: ácido 2,3-dimercaptosuccínico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1F685B" w14:textId="1C2BDFCF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 xml:space="preserve">SG: soro glicosado </w:t>
            </w:r>
          </w:p>
        </w:tc>
      </w:tr>
      <w:tr w:rsidR="00C834E4" w:rsidRPr="006945E3" w14:paraId="3248F323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3B58816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EDTACaNa</w:t>
            </w:r>
            <w:r w:rsidRPr="001002B0">
              <w:rPr>
                <w:rFonts w:ascii="Calibri" w:hAnsi="Calibri"/>
                <w:szCs w:val="22"/>
                <w:vertAlign w:val="subscript"/>
                <w:lang w:val="pt-BR"/>
              </w:rPr>
              <w:t>2</w:t>
            </w:r>
            <w:r w:rsidRPr="001002B0">
              <w:rPr>
                <w:rFonts w:ascii="Calibri" w:hAnsi="Calibri"/>
                <w:szCs w:val="22"/>
                <w:lang w:val="pt-BR"/>
              </w:rPr>
              <w:t>: edetato cálcico dissódico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32B4A6" w14:textId="5A35D2FA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SNG: sonda nasogástrica</w:t>
            </w:r>
          </w:p>
        </w:tc>
      </w:tr>
      <w:tr w:rsidR="00C834E4" w:rsidRPr="0089272C" w14:paraId="208AE5F0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3A44D59" w14:textId="77777777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 xml:space="preserve">G: glicose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381BAF" w14:textId="4FFBECB6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>
              <w:rPr>
                <w:rFonts w:ascii="Calibri" w:hAnsi="Calibri"/>
                <w:szCs w:val="22"/>
                <w:lang w:val="pt-BR"/>
              </w:rPr>
              <w:t xml:space="preserve">SUS: </w:t>
            </w:r>
            <w:r w:rsidRPr="000A43F2">
              <w:rPr>
                <w:rFonts w:ascii="Calibri" w:hAnsi="Calibri"/>
                <w:lang w:val="pt-BR"/>
              </w:rPr>
              <w:t>Sistema Único de Saúde</w:t>
            </w:r>
          </w:p>
        </w:tc>
      </w:tr>
      <w:tr w:rsidR="00C834E4" w:rsidRPr="0089272C" w14:paraId="2934D164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7CB8CB3" w14:textId="1106F058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GC: gluconato de cálcio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E1A2F1" w14:textId="76471285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TCL: triglicérides de cadeia longa</w:t>
            </w:r>
          </w:p>
        </w:tc>
      </w:tr>
      <w:tr w:rsidR="00C834E4" w:rsidRPr="0089272C" w14:paraId="2A273134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BA3E81B" w14:textId="0CB8033A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HBPM: heparina de baixo peso molecular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0C04F7" w14:textId="343144B4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  <w:r w:rsidRPr="001002B0">
              <w:rPr>
                <w:rFonts w:ascii="Calibri" w:hAnsi="Calibri"/>
                <w:szCs w:val="22"/>
                <w:lang w:val="pt-BR"/>
              </w:rPr>
              <w:t>TCM: triglicérides de cadeia média</w:t>
            </w:r>
          </w:p>
        </w:tc>
      </w:tr>
      <w:tr w:rsidR="00C834E4" w:rsidRPr="0089272C" w14:paraId="633A8BDB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975795" w14:textId="51E9AF01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07B1BE" w14:textId="61257D0A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</w:p>
        </w:tc>
      </w:tr>
      <w:tr w:rsidR="00C834E4" w:rsidRPr="0089272C" w14:paraId="41C65CC7" w14:textId="77777777" w:rsidTr="004A522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814357C" w14:textId="763AC5B1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54C997" w14:textId="47BF0811" w:rsidR="00C834E4" w:rsidRPr="001002B0" w:rsidRDefault="00C834E4" w:rsidP="00C834E4">
            <w:pPr>
              <w:spacing w:line="276" w:lineRule="auto"/>
              <w:rPr>
                <w:rFonts w:ascii="Calibri" w:hAnsi="Calibri"/>
                <w:szCs w:val="22"/>
                <w:lang w:val="pt-BR"/>
              </w:rPr>
            </w:pPr>
          </w:p>
        </w:tc>
      </w:tr>
    </w:tbl>
    <w:p w14:paraId="71E21D99" w14:textId="77777777" w:rsidR="009807A5" w:rsidRPr="002E397B" w:rsidRDefault="009807A5" w:rsidP="009807A5">
      <w:pPr>
        <w:spacing w:line="276" w:lineRule="auto"/>
        <w:rPr>
          <w:rFonts w:ascii="Calibri" w:hAnsi="Calibri"/>
          <w:szCs w:val="22"/>
          <w:lang w:val="pt-BR"/>
        </w:rPr>
      </w:pPr>
    </w:p>
    <w:p w14:paraId="0A967896" w14:textId="77777777" w:rsidR="009807A5" w:rsidRDefault="009807A5" w:rsidP="009807A5">
      <w:pPr>
        <w:rPr>
          <w:rFonts w:ascii="Calibri" w:hAnsi="Calibri"/>
          <w:b/>
          <w:lang w:val="pt-BR"/>
        </w:rPr>
      </w:pPr>
    </w:p>
    <w:p w14:paraId="499CCBAA" w14:textId="77777777" w:rsidR="009807A5" w:rsidRDefault="009807A5" w:rsidP="009807A5">
      <w:pPr>
        <w:rPr>
          <w:rFonts w:ascii="Calibri" w:hAnsi="Calibri"/>
          <w:b/>
          <w:lang w:val="pt-BR"/>
        </w:rPr>
      </w:pPr>
    </w:p>
    <w:p w14:paraId="1F3E02F0" w14:textId="77777777" w:rsidR="009807A5" w:rsidRPr="00364C25" w:rsidRDefault="009807A5" w:rsidP="009807A5">
      <w:pPr>
        <w:rPr>
          <w:rFonts w:ascii="Calibri" w:hAnsi="Calibri"/>
          <w:b/>
          <w:lang w:val="pt-BR"/>
        </w:rPr>
      </w:pPr>
    </w:p>
    <w:p w14:paraId="06F6A8DC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</w:pPr>
    </w:p>
    <w:p w14:paraId="29CD387D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</w:pPr>
    </w:p>
    <w:p w14:paraId="418B48E8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</w:pPr>
    </w:p>
    <w:p w14:paraId="0E1EF2E7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</w:pPr>
    </w:p>
    <w:p w14:paraId="01AC7C50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</w:pPr>
    </w:p>
    <w:p w14:paraId="4697E9CF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</w:pPr>
    </w:p>
    <w:p w14:paraId="6B51838C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</w:pPr>
    </w:p>
    <w:p w14:paraId="2F1864DE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</w:pPr>
    </w:p>
    <w:p w14:paraId="6B85949F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</w:pPr>
    </w:p>
    <w:p w14:paraId="64BC13E4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</w:pPr>
    </w:p>
    <w:p w14:paraId="1A801AB8" w14:textId="77777777" w:rsidR="00B54AB2" w:rsidRPr="00C16394" w:rsidRDefault="00B54AB2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  <w:sectPr w:rsidR="00B54AB2" w:rsidRPr="00C16394" w:rsidSect="00106484">
          <w:headerReference w:type="even" r:id="rId19"/>
          <w:headerReference w:type="default" r:id="rId20"/>
          <w:headerReference w:type="first" r:id="rId21"/>
          <w:pgSz w:w="11907" w:h="16840" w:code="9"/>
          <w:pgMar w:top="720" w:right="720" w:bottom="720" w:left="720" w:header="709" w:footer="0" w:gutter="0"/>
          <w:pgNumType w:chapStyle="1"/>
          <w:cols w:space="708"/>
          <w:docGrid w:linePitch="360"/>
        </w:sectPr>
      </w:pPr>
    </w:p>
    <w:p w14:paraId="6AC25A5F" w14:textId="77777777" w:rsidR="009807A5" w:rsidRPr="00C16394" w:rsidRDefault="009807A5" w:rsidP="005B0A26">
      <w:pPr>
        <w:spacing w:line="240" w:lineRule="auto"/>
        <w:ind w:left="284"/>
        <w:jc w:val="left"/>
        <w:rPr>
          <w:rStyle w:val="Ttulo2Char"/>
          <w:rFonts w:ascii="Calibri" w:hAnsi="Calibri" w:cs="Calibri"/>
          <w:bCs w:val="0"/>
          <w:sz w:val="28"/>
          <w:szCs w:val="28"/>
          <w:lang w:val="pt-BR"/>
        </w:rPr>
        <w:sectPr w:rsidR="009807A5" w:rsidRPr="00C16394" w:rsidSect="00B54AB2">
          <w:headerReference w:type="even" r:id="rId22"/>
          <w:headerReference w:type="default" r:id="rId23"/>
          <w:footerReference w:type="default" r:id="rId24"/>
          <w:headerReference w:type="first" r:id="rId25"/>
          <w:pgSz w:w="11907" w:h="16840" w:code="9"/>
          <w:pgMar w:top="720" w:right="720" w:bottom="720" w:left="720" w:header="709" w:footer="0" w:gutter="0"/>
          <w:pgNumType w:start="1" w:chapStyle="1"/>
          <w:cols w:space="708"/>
          <w:docGrid w:linePitch="360"/>
        </w:sectPr>
      </w:pPr>
    </w:p>
    <w:p w14:paraId="0D5BF63D" w14:textId="2C9F9C3B" w:rsidR="00A63344" w:rsidRPr="00C16394" w:rsidRDefault="00A63344" w:rsidP="00AB3CEC">
      <w:pPr>
        <w:pStyle w:val="Ttulo1"/>
        <w:rPr>
          <w:rStyle w:val="Ttulo2Char"/>
          <w:rFonts w:ascii="Calibri" w:hAnsi="Calibri" w:cs="Calibri"/>
          <w:b/>
          <w:bCs/>
          <w:lang w:val="pt-BR"/>
        </w:rPr>
      </w:pPr>
      <w:bookmarkStart w:id="6" w:name="_Toc126750577"/>
      <w:r w:rsidRPr="00C16394">
        <w:rPr>
          <w:rStyle w:val="Ttulo2Char"/>
          <w:rFonts w:ascii="Calibri" w:hAnsi="Calibri" w:cs="Calibri"/>
          <w:b/>
          <w:bCs/>
          <w:lang w:val="pt-BR"/>
        </w:rPr>
        <w:t>CONTEXTO</w:t>
      </w:r>
      <w:bookmarkEnd w:id="4"/>
      <w:bookmarkEnd w:id="5"/>
      <w:bookmarkEnd w:id="6"/>
    </w:p>
    <w:p w14:paraId="1C0229BA" w14:textId="6DEBE11D" w:rsidR="00A63344" w:rsidRDefault="00A63344" w:rsidP="00A63344">
      <w:pPr>
        <w:ind w:firstLine="709"/>
        <w:rPr>
          <w:rFonts w:ascii="Calibri" w:hAnsi="Calibri"/>
          <w:lang w:val="pt-BR"/>
        </w:rPr>
      </w:pPr>
      <w:r w:rsidRPr="00E35A80">
        <w:rPr>
          <w:rFonts w:ascii="Calibri" w:hAnsi="Calibri"/>
          <w:lang w:val="pt-BR"/>
        </w:rPr>
        <w:t xml:space="preserve">A carência de adequada e pronta disponibilidade de antídotos é um problema mundial, com consequências potencialmente desastrosas. </w:t>
      </w:r>
      <w:r>
        <w:rPr>
          <w:rFonts w:ascii="Calibri" w:hAnsi="Calibri"/>
          <w:lang w:val="pt-BR"/>
        </w:rPr>
        <w:t xml:space="preserve">Na diretriz apresentada adiante, elaborada pelo CIATox de Campinas, são apresentadas, de forma sumarizada e para acesso rápido, as </w:t>
      </w:r>
      <w:r w:rsidRPr="00E35A80">
        <w:rPr>
          <w:rFonts w:ascii="Calibri" w:hAnsi="Calibri"/>
          <w:lang w:val="pt-BR"/>
        </w:rPr>
        <w:t>forma</w:t>
      </w:r>
      <w:r>
        <w:rPr>
          <w:rFonts w:ascii="Calibri" w:hAnsi="Calibri"/>
          <w:lang w:val="pt-BR"/>
        </w:rPr>
        <w:t>s</w:t>
      </w:r>
      <w:r w:rsidRPr="00E35A80">
        <w:rPr>
          <w:rFonts w:ascii="Calibri" w:hAnsi="Calibri"/>
          <w:lang w:val="pt-BR"/>
        </w:rPr>
        <w:t xml:space="preserve"> farmacêutica</w:t>
      </w:r>
      <w:r>
        <w:rPr>
          <w:rFonts w:ascii="Calibri" w:hAnsi="Calibri"/>
          <w:lang w:val="pt-BR"/>
        </w:rPr>
        <w:t>s</w:t>
      </w:r>
      <w:r w:rsidRPr="00E35A80">
        <w:rPr>
          <w:rFonts w:ascii="Calibri" w:hAnsi="Calibri"/>
          <w:lang w:val="pt-BR"/>
        </w:rPr>
        <w:t xml:space="preserve">, principais indicações, mecanismos de ação, doses recomendadas, e estoque mínimo para </w:t>
      </w:r>
      <w:r>
        <w:rPr>
          <w:rFonts w:ascii="Calibri" w:hAnsi="Calibri"/>
          <w:lang w:val="pt-BR"/>
        </w:rPr>
        <w:t xml:space="preserve">o tratamento de </w:t>
      </w:r>
      <w:r w:rsidRPr="00E35A80">
        <w:rPr>
          <w:rFonts w:ascii="Calibri" w:hAnsi="Calibri"/>
          <w:lang w:val="pt-BR"/>
        </w:rPr>
        <w:t xml:space="preserve">um </w:t>
      </w:r>
      <w:r>
        <w:rPr>
          <w:rFonts w:ascii="Calibri" w:hAnsi="Calibri"/>
          <w:lang w:val="pt-BR"/>
        </w:rPr>
        <w:t xml:space="preserve">adulto de ~70 kg, </w:t>
      </w:r>
      <w:r w:rsidRPr="00E35A80">
        <w:rPr>
          <w:rFonts w:ascii="Calibri" w:hAnsi="Calibri"/>
          <w:lang w:val="pt-BR"/>
        </w:rPr>
        <w:t xml:space="preserve">de acordo com os </w:t>
      </w:r>
      <w:r>
        <w:rPr>
          <w:rFonts w:ascii="Calibri" w:hAnsi="Calibri"/>
          <w:lang w:val="pt-BR"/>
        </w:rPr>
        <w:t xml:space="preserve">principais </w:t>
      </w:r>
      <w:r w:rsidRPr="00E35A80">
        <w:rPr>
          <w:rFonts w:ascii="Calibri" w:hAnsi="Calibri"/>
          <w:lang w:val="pt-BR"/>
        </w:rPr>
        <w:t>tipos de antídotos.</w:t>
      </w:r>
      <w:r>
        <w:rPr>
          <w:rFonts w:ascii="Calibri" w:hAnsi="Calibri"/>
          <w:lang w:val="pt-BR"/>
        </w:rPr>
        <w:t xml:space="preserve"> </w:t>
      </w:r>
      <w:r w:rsidRPr="00570FBD">
        <w:rPr>
          <w:rFonts w:ascii="Calibri" w:hAnsi="Calibri"/>
          <w:lang w:val="pt-BR"/>
        </w:rPr>
        <w:t>As indicações, doses recomendadas e estoque mínimo dos antídotos, foram extraídas de um estudo sobre a disponibilidade de antídotos Brasil e no município de Campinas;</w:t>
      </w:r>
      <w:r w:rsidRPr="00570FBD">
        <w:rPr>
          <w:rFonts w:ascii="Calibri" w:hAnsi="Calibri"/>
          <w:vertAlign w:val="superscript"/>
          <w:lang w:val="pt-BR"/>
        </w:rPr>
        <w:t>1,2</w:t>
      </w:r>
      <w:r w:rsidRPr="00570FBD">
        <w:rPr>
          <w:rFonts w:ascii="Calibri" w:hAnsi="Calibri"/>
          <w:lang w:val="pt-BR"/>
        </w:rPr>
        <w:t xml:space="preserve"> da base eletrônica de toxicologia clínica (TOXBASE) do </w:t>
      </w:r>
      <w:r>
        <w:rPr>
          <w:rFonts w:ascii="Calibri" w:hAnsi="Calibri"/>
          <w:lang w:val="pt-BR"/>
        </w:rPr>
        <w:t>S</w:t>
      </w:r>
      <w:r w:rsidRPr="00570FBD">
        <w:rPr>
          <w:rFonts w:ascii="Calibri" w:hAnsi="Calibri"/>
          <w:lang w:val="pt-BR"/>
        </w:rPr>
        <w:t xml:space="preserve">istema </w:t>
      </w:r>
      <w:r>
        <w:rPr>
          <w:rFonts w:ascii="Calibri" w:hAnsi="Calibri"/>
          <w:lang w:val="pt-BR"/>
        </w:rPr>
        <w:t>N</w:t>
      </w:r>
      <w:r w:rsidRPr="00570FBD">
        <w:rPr>
          <w:rFonts w:ascii="Calibri" w:hAnsi="Calibri"/>
          <w:lang w:val="pt-BR"/>
        </w:rPr>
        <w:t xml:space="preserve">acional de </w:t>
      </w:r>
      <w:r>
        <w:rPr>
          <w:rFonts w:ascii="Calibri" w:hAnsi="Calibri"/>
          <w:lang w:val="pt-BR"/>
        </w:rPr>
        <w:t>I</w:t>
      </w:r>
      <w:r w:rsidRPr="00570FBD">
        <w:rPr>
          <w:rFonts w:ascii="Calibri" w:hAnsi="Calibri"/>
          <w:lang w:val="pt-BR"/>
        </w:rPr>
        <w:t xml:space="preserve">nformação </w:t>
      </w:r>
      <w:r>
        <w:rPr>
          <w:rFonts w:ascii="Calibri" w:hAnsi="Calibri"/>
          <w:lang w:val="pt-BR"/>
        </w:rPr>
        <w:t>T</w:t>
      </w:r>
      <w:r w:rsidRPr="00570FBD">
        <w:rPr>
          <w:rFonts w:ascii="Calibri" w:hAnsi="Calibri"/>
          <w:lang w:val="pt-BR"/>
        </w:rPr>
        <w:t>oxicológica (NPIS) do Reino Unido;</w:t>
      </w:r>
      <w:r w:rsidRPr="00570FBD">
        <w:rPr>
          <w:rFonts w:ascii="Calibri" w:hAnsi="Calibri"/>
          <w:vertAlign w:val="superscript"/>
          <w:lang w:val="pt-BR"/>
        </w:rPr>
        <w:t>3</w:t>
      </w:r>
      <w:r w:rsidRPr="00570FBD">
        <w:rPr>
          <w:rFonts w:ascii="Calibri" w:hAnsi="Calibri"/>
          <w:lang w:val="pt-BR"/>
        </w:rPr>
        <w:t xml:space="preserve"> das seções “antídotos em profundidade” da última edição do livro </w:t>
      </w:r>
      <w:r w:rsidRPr="00570FBD">
        <w:rPr>
          <w:rFonts w:ascii="Calibri" w:hAnsi="Calibri"/>
          <w:i/>
          <w:lang w:val="es-ES"/>
        </w:rPr>
        <w:t xml:space="preserve">Goldfrank’s Toxicologic Emergencies </w:t>
      </w:r>
      <w:r w:rsidRPr="00570FBD">
        <w:rPr>
          <w:rFonts w:ascii="Calibri" w:hAnsi="Calibri"/>
          <w:lang w:val="es-ES"/>
        </w:rPr>
        <w:t>(2019)</w:t>
      </w:r>
      <w:r>
        <w:rPr>
          <w:rFonts w:ascii="Calibri" w:hAnsi="Calibri"/>
          <w:lang w:val="es-ES"/>
        </w:rPr>
        <w:t>;</w:t>
      </w:r>
      <w:r w:rsidRPr="00570FBD">
        <w:rPr>
          <w:rFonts w:ascii="Calibri" w:hAnsi="Calibri"/>
          <w:vertAlign w:val="superscript"/>
          <w:lang w:val="pt-BR"/>
        </w:rPr>
        <w:t>4</w:t>
      </w:r>
      <w:r w:rsidRPr="00570FBD">
        <w:rPr>
          <w:rFonts w:ascii="Calibri" w:hAnsi="Calibri"/>
          <w:vertAlign w:val="subscript"/>
          <w:lang w:val="pt-BR"/>
        </w:rPr>
        <w:t xml:space="preserve"> </w:t>
      </w:r>
      <w:r w:rsidRPr="00570FBD">
        <w:rPr>
          <w:rFonts w:ascii="Calibri" w:hAnsi="Calibri"/>
          <w:lang w:val="pt-BR"/>
        </w:rPr>
        <w:t xml:space="preserve">do aplicativo </w:t>
      </w:r>
      <w:r w:rsidRPr="00570FBD">
        <w:rPr>
          <w:rFonts w:ascii="Calibri" w:hAnsi="Calibri"/>
          <w:i/>
          <w:iCs/>
          <w:lang w:val="pt-BR"/>
        </w:rPr>
        <w:t>Antidote</w:t>
      </w:r>
      <w:r w:rsidRPr="00570FBD">
        <w:rPr>
          <w:rFonts w:ascii="Calibri" w:hAnsi="Calibri"/>
          <w:lang w:val="pt-BR"/>
        </w:rPr>
        <w:t>, da Seção de Toxicologia do Colégio Americano de Médicos Emergencistas (ACEP);</w:t>
      </w:r>
      <w:r w:rsidRPr="00570FBD">
        <w:rPr>
          <w:rFonts w:ascii="Calibri" w:hAnsi="Calibri"/>
          <w:vertAlign w:val="superscript"/>
          <w:lang w:val="pt-BR"/>
        </w:rPr>
        <w:t>5</w:t>
      </w:r>
      <w:r w:rsidRPr="00570FBD">
        <w:rPr>
          <w:rFonts w:ascii="Calibri" w:hAnsi="Calibri"/>
          <w:lang w:val="pt-BR"/>
        </w:rPr>
        <w:t xml:space="preserve"> e das diretrizes de estoque de antídotos do Reino Unido (2021)</w:t>
      </w:r>
      <w:r w:rsidRPr="00570FBD">
        <w:rPr>
          <w:rFonts w:ascii="Calibri" w:hAnsi="Calibri"/>
          <w:vertAlign w:val="superscript"/>
          <w:lang w:val="pt-BR"/>
        </w:rPr>
        <w:t>6</w:t>
      </w:r>
      <w:r w:rsidRPr="00570FBD">
        <w:rPr>
          <w:rFonts w:ascii="Calibri" w:hAnsi="Calibri"/>
          <w:lang w:val="pt-BR"/>
        </w:rPr>
        <w:t xml:space="preserve"> e dos EUA (2018)</w:t>
      </w:r>
      <w:r>
        <w:rPr>
          <w:rFonts w:ascii="Calibri" w:hAnsi="Calibri"/>
          <w:lang w:val="pt-BR"/>
        </w:rPr>
        <w:t>,</w:t>
      </w:r>
      <w:r w:rsidRPr="00570FBD">
        <w:rPr>
          <w:rFonts w:ascii="Calibri" w:hAnsi="Calibri"/>
          <w:vertAlign w:val="superscript"/>
          <w:lang w:val="pt-BR"/>
        </w:rPr>
        <w:t>7</w:t>
      </w:r>
      <w:r w:rsidRPr="00570FBD">
        <w:rPr>
          <w:rFonts w:ascii="Calibri" w:hAnsi="Calibri"/>
          <w:lang w:val="pt-BR"/>
        </w:rPr>
        <w:t xml:space="preserve"> adaptadas para as </w:t>
      </w:r>
      <w:r w:rsidR="003E0295">
        <w:rPr>
          <w:rFonts w:ascii="Calibri" w:hAnsi="Calibri"/>
          <w:lang w:val="pt-BR"/>
        </w:rPr>
        <w:t>formas</w:t>
      </w:r>
      <w:r w:rsidRPr="00570FBD">
        <w:rPr>
          <w:rFonts w:ascii="Calibri" w:hAnsi="Calibri"/>
          <w:lang w:val="pt-BR"/>
        </w:rPr>
        <w:t xml:space="preserve"> farmacêuticas disponibilizadas no mercado brasileiro.</w:t>
      </w:r>
    </w:p>
    <w:p w14:paraId="133B58D5" w14:textId="11795813" w:rsidR="004A5221" w:rsidRDefault="000A43F2" w:rsidP="000A43F2">
      <w:pPr>
        <w:ind w:firstLine="709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 xml:space="preserve">Seguindo o disposto na </w:t>
      </w:r>
      <w:r w:rsidRPr="000A43F2">
        <w:rPr>
          <w:rFonts w:ascii="Calibri" w:hAnsi="Calibri"/>
          <w:lang w:val="pt-BR"/>
        </w:rPr>
        <w:t>L</w:t>
      </w:r>
      <w:r>
        <w:rPr>
          <w:rFonts w:ascii="Calibri" w:hAnsi="Calibri"/>
          <w:lang w:val="pt-BR"/>
        </w:rPr>
        <w:t>ei</w:t>
      </w:r>
      <w:r w:rsidRPr="000A43F2">
        <w:rPr>
          <w:rFonts w:ascii="Calibri" w:hAnsi="Calibri"/>
          <w:lang w:val="pt-BR"/>
        </w:rPr>
        <w:t xml:space="preserve"> Nº 14.715</w:t>
      </w:r>
      <w:r>
        <w:rPr>
          <w:rFonts w:ascii="Calibri" w:hAnsi="Calibri"/>
          <w:lang w:val="pt-BR"/>
        </w:rPr>
        <w:t xml:space="preserve"> (30/10/2023)</w:t>
      </w:r>
      <w:r w:rsidRPr="000A43F2">
        <w:rPr>
          <w:rFonts w:ascii="Calibri" w:hAnsi="Calibri"/>
          <w:lang w:val="pt-BR"/>
        </w:rPr>
        <w:t xml:space="preserve">, </w:t>
      </w:r>
      <w:r>
        <w:rPr>
          <w:rFonts w:ascii="Calibri" w:hAnsi="Calibri"/>
          <w:lang w:val="pt-BR"/>
        </w:rPr>
        <w:t>foi aditado</w:t>
      </w:r>
      <w:r w:rsidR="004A5221">
        <w:rPr>
          <w:rFonts w:ascii="Calibri" w:hAnsi="Calibri"/>
          <w:lang w:val="pt-BR"/>
        </w:rPr>
        <w:t xml:space="preserve"> à </w:t>
      </w:r>
      <w:r w:rsidR="004A5221" w:rsidRPr="000A43F2">
        <w:rPr>
          <w:rFonts w:ascii="Calibri" w:hAnsi="Calibri"/>
          <w:lang w:val="pt-BR"/>
        </w:rPr>
        <w:t>Lei Orgânica da Saúde</w:t>
      </w:r>
      <w:r w:rsidR="004A5221">
        <w:rPr>
          <w:rFonts w:ascii="Calibri" w:hAnsi="Calibri"/>
          <w:lang w:val="pt-BR"/>
        </w:rPr>
        <w:t xml:space="preserve"> (</w:t>
      </w:r>
      <w:r w:rsidRPr="000A43F2">
        <w:rPr>
          <w:rFonts w:ascii="Calibri" w:hAnsi="Calibri"/>
          <w:lang w:val="pt-BR"/>
        </w:rPr>
        <w:t xml:space="preserve">Lei nº 8.080, </w:t>
      </w:r>
      <w:r w:rsidR="004A5221">
        <w:rPr>
          <w:rFonts w:ascii="Calibri" w:hAnsi="Calibri"/>
          <w:lang w:val="pt-BR"/>
        </w:rPr>
        <w:t>19/09/</w:t>
      </w:r>
      <w:r w:rsidRPr="000A43F2">
        <w:rPr>
          <w:rFonts w:ascii="Calibri" w:hAnsi="Calibri"/>
          <w:lang w:val="pt-BR"/>
        </w:rPr>
        <w:t xml:space="preserve">1990) </w:t>
      </w:r>
      <w:r w:rsidR="004A5221">
        <w:rPr>
          <w:rFonts w:ascii="Calibri" w:hAnsi="Calibri"/>
          <w:lang w:val="pt-BR"/>
        </w:rPr>
        <w:t xml:space="preserve">a inclusão, </w:t>
      </w:r>
      <w:r w:rsidRPr="000A43F2">
        <w:rPr>
          <w:rFonts w:ascii="Calibri" w:hAnsi="Calibri"/>
          <w:lang w:val="pt-BR"/>
        </w:rPr>
        <w:t>no campo de atuação do SUS</w:t>
      </w:r>
      <w:r w:rsidR="004A5221">
        <w:rPr>
          <w:rFonts w:ascii="Calibri" w:hAnsi="Calibri"/>
          <w:lang w:val="pt-BR"/>
        </w:rPr>
        <w:t>,</w:t>
      </w:r>
      <w:r w:rsidRPr="000A43F2">
        <w:rPr>
          <w:rFonts w:ascii="Calibri" w:hAnsi="Calibri"/>
          <w:lang w:val="pt-BR"/>
        </w:rPr>
        <w:t xml:space="preserve"> a formulação e a execução da política de informação e assistência toxicológica e de logística de antídotos e medicamentos utilizados em intoxicações</w:t>
      </w:r>
      <w:r w:rsidR="004A5221">
        <w:rPr>
          <w:rFonts w:ascii="Calibri" w:hAnsi="Calibri"/>
          <w:lang w:val="pt-BR"/>
        </w:rPr>
        <w:t xml:space="preserve"> (Art. 6º, item XII)</w:t>
      </w:r>
      <w:r w:rsidRPr="000A43F2">
        <w:rPr>
          <w:rFonts w:ascii="Calibri" w:hAnsi="Calibri"/>
          <w:lang w:val="pt-BR"/>
        </w:rPr>
        <w:t>.</w:t>
      </w:r>
      <w:r w:rsidR="004A5221">
        <w:rPr>
          <w:rFonts w:ascii="Calibri" w:hAnsi="Calibri"/>
          <w:lang w:val="pt-BR"/>
        </w:rPr>
        <w:t xml:space="preserve"> Assim, entendemos que o Ministério da Saúde deverá definir </w:t>
      </w:r>
      <w:r w:rsidR="00A6592D">
        <w:rPr>
          <w:rFonts w:ascii="Calibri" w:hAnsi="Calibri"/>
          <w:lang w:val="pt-BR"/>
        </w:rPr>
        <w:t xml:space="preserve">as diretrizes de </w:t>
      </w:r>
      <w:r w:rsidR="004A5221">
        <w:rPr>
          <w:rFonts w:ascii="Calibri" w:hAnsi="Calibri"/>
          <w:lang w:val="pt-BR"/>
        </w:rPr>
        <w:t xml:space="preserve">quais antídotos essenciais deverão ser estocados no SAMU, em serviços de urgência, hospitais de referência, e nos CIATox regionais.   </w:t>
      </w:r>
    </w:p>
    <w:p w14:paraId="348551BB" w14:textId="2FEF7BA7" w:rsidR="003E0295" w:rsidRPr="009122F6" w:rsidRDefault="00A63344" w:rsidP="003E0295">
      <w:pPr>
        <w:ind w:firstLine="709"/>
        <w:rPr>
          <w:rFonts w:ascii="Calibri" w:hAnsi="Calibri"/>
          <w:lang w:val="pt-BR"/>
        </w:rPr>
      </w:pPr>
      <w:r w:rsidRPr="005A5366">
        <w:rPr>
          <w:rFonts w:ascii="Calibri" w:hAnsi="Calibri"/>
          <w:lang w:val="pt-BR"/>
        </w:rPr>
        <w:t xml:space="preserve">Antídotos </w:t>
      </w:r>
      <w:r w:rsidR="00F1772B">
        <w:rPr>
          <w:rFonts w:ascii="Calibri" w:hAnsi="Calibri"/>
          <w:lang w:val="pt-BR"/>
        </w:rPr>
        <w:t xml:space="preserve">de alto custo </w:t>
      </w:r>
      <w:r w:rsidRPr="005A5366">
        <w:rPr>
          <w:rFonts w:ascii="Calibri" w:hAnsi="Calibri"/>
          <w:lang w:val="pt-BR"/>
        </w:rPr>
        <w:t>como fomepizol, anticorpos antidigoxina</w:t>
      </w:r>
      <w:r w:rsidR="00F1772B">
        <w:rPr>
          <w:rFonts w:ascii="Calibri" w:hAnsi="Calibri"/>
          <w:lang w:val="pt-BR"/>
        </w:rPr>
        <w:t xml:space="preserve"> e</w:t>
      </w:r>
      <w:r w:rsidRPr="005A5366">
        <w:rPr>
          <w:rFonts w:ascii="Calibri" w:hAnsi="Calibri"/>
          <w:lang w:val="pt-BR"/>
        </w:rPr>
        <w:t xml:space="preserve"> hidroxicobalamina têm importação autorizada pela ANVISA</w:t>
      </w:r>
      <w:r>
        <w:rPr>
          <w:rFonts w:ascii="Calibri" w:hAnsi="Calibri"/>
          <w:lang w:val="pt-BR"/>
        </w:rPr>
        <w:t>,</w:t>
      </w:r>
      <w:r>
        <w:rPr>
          <w:rFonts w:ascii="Calibri" w:hAnsi="Calibri"/>
          <w:vertAlign w:val="superscript"/>
          <w:lang w:val="pt-BR"/>
        </w:rPr>
        <w:t>8</w:t>
      </w:r>
      <w:r>
        <w:rPr>
          <w:rFonts w:ascii="Calibri" w:hAnsi="Calibri"/>
          <w:lang w:val="pt-BR"/>
        </w:rPr>
        <w:t xml:space="preserve"> além do </w:t>
      </w:r>
      <w:r w:rsidRPr="004F16FF">
        <w:rPr>
          <w:rFonts w:ascii="Calibri" w:hAnsi="Calibri"/>
          <w:lang w:val="pt-BR"/>
        </w:rPr>
        <w:t>idarucizumabe</w:t>
      </w:r>
      <w:r>
        <w:rPr>
          <w:rFonts w:ascii="Calibri" w:hAnsi="Calibri"/>
          <w:lang w:val="pt-BR"/>
        </w:rPr>
        <w:t>, que tem registro para uso autorizado no Brasil pela ANVISA.</w:t>
      </w:r>
      <w:r>
        <w:rPr>
          <w:rFonts w:ascii="Calibri" w:hAnsi="Calibri"/>
          <w:vertAlign w:val="superscript"/>
          <w:lang w:val="pt-BR"/>
        </w:rPr>
        <w:t>9</w:t>
      </w:r>
      <w:r w:rsidR="003E0295">
        <w:rPr>
          <w:rFonts w:ascii="Calibri" w:hAnsi="Calibri"/>
          <w:lang w:val="pt-BR"/>
        </w:rPr>
        <w:t xml:space="preserve"> </w:t>
      </w:r>
      <w:r w:rsidR="003E0295" w:rsidRPr="005A5366">
        <w:rPr>
          <w:rFonts w:ascii="Calibri" w:hAnsi="Calibri"/>
          <w:lang w:val="pt-BR"/>
        </w:rPr>
        <w:t xml:space="preserve">Em relação à hidroxicobalamina, há um </w:t>
      </w:r>
      <w:r w:rsidR="003E0295">
        <w:rPr>
          <w:rFonts w:ascii="Calibri" w:hAnsi="Calibri"/>
          <w:lang w:val="pt-BR"/>
        </w:rPr>
        <w:t xml:space="preserve">detalhado </w:t>
      </w:r>
      <w:r w:rsidR="003E0295" w:rsidRPr="005A5366">
        <w:rPr>
          <w:rFonts w:ascii="Calibri" w:hAnsi="Calibri"/>
          <w:lang w:val="pt-BR"/>
        </w:rPr>
        <w:t xml:space="preserve">relatório </w:t>
      </w:r>
      <w:r w:rsidR="003E0295">
        <w:rPr>
          <w:rFonts w:ascii="Calibri" w:hAnsi="Calibri"/>
          <w:lang w:val="pt-BR"/>
        </w:rPr>
        <w:t xml:space="preserve">técnico </w:t>
      </w:r>
      <w:r w:rsidR="003E0295" w:rsidRPr="005A5366">
        <w:rPr>
          <w:rFonts w:ascii="Calibri" w:hAnsi="Calibri"/>
          <w:lang w:val="pt-BR"/>
        </w:rPr>
        <w:t xml:space="preserve">elaborado pela </w:t>
      </w:r>
      <w:r w:rsidR="009122F6" w:rsidRPr="009122F6">
        <w:rPr>
          <w:rFonts w:ascii="Calibri" w:hAnsi="Calibri"/>
          <w:lang w:val="pt-BR"/>
        </w:rPr>
        <w:t>Comissão Nacional de Incorporação de Tecnologias no SUS (CONITEC), da Secretaria de Ciência, Tecnologia e Insumos Estratégicos do Ministério da Saúde</w:t>
      </w:r>
      <w:r w:rsidR="003E0295" w:rsidRPr="009122F6">
        <w:rPr>
          <w:rFonts w:ascii="Calibri" w:hAnsi="Calibri"/>
          <w:lang w:val="pt-BR"/>
        </w:rPr>
        <w:t>,</w:t>
      </w:r>
      <w:r w:rsidR="003E0295">
        <w:rPr>
          <w:rFonts w:ascii="Calibri" w:hAnsi="Calibri"/>
          <w:lang w:val="pt-BR"/>
        </w:rPr>
        <w:t xml:space="preserve"> </w:t>
      </w:r>
      <w:r w:rsidR="003E0295" w:rsidRPr="005A5366">
        <w:rPr>
          <w:rFonts w:ascii="Calibri" w:hAnsi="Calibri"/>
          <w:lang w:val="pt-BR"/>
        </w:rPr>
        <w:t>recomendando a incorporação da hidroxicobalamina para o tratamento das intoxicações por cianeto no SUS,</w:t>
      </w:r>
      <w:r w:rsidR="003E0295">
        <w:rPr>
          <w:rFonts w:ascii="Calibri" w:hAnsi="Calibri"/>
          <w:vertAlign w:val="superscript"/>
          <w:lang w:val="pt-BR"/>
        </w:rPr>
        <w:t>8,9</w:t>
      </w:r>
      <w:r w:rsidR="003E0295" w:rsidRPr="005A5366">
        <w:rPr>
          <w:rFonts w:ascii="Calibri" w:hAnsi="Calibri"/>
          <w:lang w:val="pt-BR"/>
        </w:rPr>
        <w:t xml:space="preserve"> aprovad</w:t>
      </w:r>
      <w:r w:rsidR="003E0295">
        <w:rPr>
          <w:rFonts w:ascii="Calibri" w:hAnsi="Calibri"/>
          <w:lang w:val="pt-BR"/>
        </w:rPr>
        <w:t>a</w:t>
      </w:r>
      <w:r w:rsidR="003E0295" w:rsidRPr="005A5366">
        <w:rPr>
          <w:rFonts w:ascii="Calibri" w:hAnsi="Calibri"/>
          <w:lang w:val="pt-BR"/>
        </w:rPr>
        <w:t xml:space="preserve"> pela Secretaria de Atenção à Saúde do Ministério da Saúde</w:t>
      </w:r>
      <w:r w:rsidR="003E0295">
        <w:rPr>
          <w:rFonts w:ascii="Calibri" w:hAnsi="Calibri"/>
          <w:lang w:val="pt-BR"/>
        </w:rPr>
        <w:t xml:space="preserve"> (Portaria SAS-MS 1115</w:t>
      </w:r>
      <w:r w:rsidR="00F1772B">
        <w:rPr>
          <w:rFonts w:ascii="Calibri" w:hAnsi="Calibri"/>
          <w:lang w:val="pt-BR"/>
        </w:rPr>
        <w:t>, 2015</w:t>
      </w:r>
      <w:r w:rsidR="003E0295">
        <w:rPr>
          <w:rFonts w:ascii="Calibri" w:hAnsi="Calibri"/>
          <w:lang w:val="pt-BR"/>
        </w:rPr>
        <w:t>)</w:t>
      </w:r>
      <w:r w:rsidR="003E0295" w:rsidRPr="005A5366">
        <w:rPr>
          <w:rFonts w:ascii="Calibri" w:hAnsi="Calibri"/>
          <w:lang w:val="pt-BR"/>
        </w:rPr>
        <w:t>.</w:t>
      </w:r>
      <w:r w:rsidR="00F1772B">
        <w:rPr>
          <w:rFonts w:ascii="Calibri" w:hAnsi="Calibri"/>
          <w:lang w:val="pt-BR"/>
        </w:rPr>
        <w:t xml:space="preserve"> Nessa mesma linha, também seria importante a aprovação para o uso do fomepizol no SUS</w:t>
      </w:r>
      <w:r w:rsidR="00C834E4">
        <w:rPr>
          <w:rFonts w:ascii="Calibri" w:hAnsi="Calibri"/>
          <w:lang w:val="pt-BR"/>
        </w:rPr>
        <w:t xml:space="preserve"> para o tratamento das intoxicações por álcoois tóxicos (metanol, etilenoglicol e dietelinoglicol)</w:t>
      </w:r>
      <w:r w:rsidR="00F1772B">
        <w:rPr>
          <w:rFonts w:ascii="Calibri" w:hAnsi="Calibri"/>
          <w:lang w:val="pt-BR"/>
        </w:rPr>
        <w:t xml:space="preserve">, pois </w:t>
      </w:r>
      <w:r w:rsidR="009122F6" w:rsidRPr="009122F6">
        <w:rPr>
          <w:rFonts w:ascii="Calibri" w:hAnsi="Calibri"/>
          <w:lang w:val="pt-BR"/>
        </w:rPr>
        <w:t>o único antídoto disponível no Brasil para o tratamento d</w:t>
      </w:r>
      <w:r w:rsidR="00C834E4">
        <w:rPr>
          <w:rFonts w:ascii="Calibri" w:hAnsi="Calibri"/>
          <w:lang w:val="pt-BR"/>
        </w:rPr>
        <w:t>ess</w:t>
      </w:r>
      <w:r w:rsidR="00F1772B">
        <w:rPr>
          <w:rFonts w:ascii="Calibri" w:hAnsi="Calibri"/>
          <w:lang w:val="pt-BR"/>
        </w:rPr>
        <w:t>as</w:t>
      </w:r>
      <w:r w:rsidR="009122F6" w:rsidRPr="009122F6">
        <w:rPr>
          <w:rFonts w:ascii="Calibri" w:hAnsi="Calibri"/>
          <w:lang w:val="pt-BR"/>
        </w:rPr>
        <w:t xml:space="preserve"> intoxicações é o etanol. </w:t>
      </w:r>
      <w:r w:rsidR="00F1772B">
        <w:rPr>
          <w:rFonts w:ascii="Calibri" w:hAnsi="Calibri"/>
          <w:lang w:val="pt-BR"/>
        </w:rPr>
        <w:t xml:space="preserve">O fomepizol tem </w:t>
      </w:r>
      <w:r w:rsidR="009122F6" w:rsidRPr="009122F6">
        <w:rPr>
          <w:rFonts w:ascii="Calibri" w:hAnsi="Calibri"/>
          <w:lang w:val="pt-BR"/>
        </w:rPr>
        <w:t xml:space="preserve">eficácia </w:t>
      </w:r>
      <w:r w:rsidR="00C834E4">
        <w:rPr>
          <w:rFonts w:ascii="Calibri" w:hAnsi="Calibri"/>
          <w:lang w:val="pt-BR"/>
        </w:rPr>
        <w:t xml:space="preserve">amplamente </w:t>
      </w:r>
      <w:r w:rsidR="009122F6" w:rsidRPr="009122F6">
        <w:rPr>
          <w:rFonts w:ascii="Calibri" w:hAnsi="Calibri"/>
          <w:lang w:val="pt-BR"/>
        </w:rPr>
        <w:t>comprovada</w:t>
      </w:r>
      <w:r w:rsidR="00F1772B">
        <w:rPr>
          <w:rFonts w:ascii="Calibri" w:hAnsi="Calibri"/>
          <w:lang w:val="pt-BR"/>
        </w:rPr>
        <w:t xml:space="preserve">, </w:t>
      </w:r>
      <w:r w:rsidR="009122F6" w:rsidRPr="009122F6">
        <w:rPr>
          <w:rFonts w:ascii="Calibri" w:hAnsi="Calibri"/>
          <w:lang w:val="pt-BR"/>
        </w:rPr>
        <w:t>administração mais simples</w:t>
      </w:r>
      <w:r w:rsidR="00F1772B">
        <w:rPr>
          <w:rFonts w:ascii="Calibri" w:hAnsi="Calibri"/>
          <w:lang w:val="pt-BR"/>
        </w:rPr>
        <w:t xml:space="preserve">, e </w:t>
      </w:r>
      <w:r w:rsidR="00C834E4">
        <w:rPr>
          <w:rFonts w:ascii="Calibri" w:hAnsi="Calibri"/>
          <w:lang w:val="pt-BR"/>
        </w:rPr>
        <w:t xml:space="preserve">consta, inclusive, </w:t>
      </w:r>
      <w:r w:rsidR="009122F6" w:rsidRPr="009122F6">
        <w:rPr>
          <w:rFonts w:ascii="Calibri" w:hAnsi="Calibri"/>
          <w:lang w:val="pt-BR"/>
        </w:rPr>
        <w:t xml:space="preserve">na lista de antídotos dos medicamentos essenciais da OMS (disponível em: </w:t>
      </w:r>
      <w:hyperlink r:id="rId26" w:history="1">
        <w:r w:rsidR="00AF4758" w:rsidRPr="00683933">
          <w:rPr>
            <w:rStyle w:val="Hyperlink"/>
            <w:rFonts w:ascii="Calibri" w:hAnsi="Calibri"/>
            <w:lang w:val="pt-BR"/>
          </w:rPr>
          <w:t>https://www.who.int/publications-detail-redirect/WHO-MHP-HPS-EML-2021.02</w:t>
        </w:r>
      </w:hyperlink>
      <w:r w:rsidR="009122F6" w:rsidRPr="009122F6">
        <w:rPr>
          <w:rFonts w:ascii="Calibri" w:hAnsi="Calibri"/>
          <w:lang w:val="pt-BR"/>
        </w:rPr>
        <w:t>).</w:t>
      </w:r>
      <w:r w:rsidR="00AF4758">
        <w:rPr>
          <w:rFonts w:ascii="Calibri" w:hAnsi="Calibri"/>
          <w:lang w:val="pt-BR"/>
        </w:rPr>
        <w:t xml:space="preserve"> </w:t>
      </w:r>
    </w:p>
    <w:p w14:paraId="7B29D7D3" w14:textId="7A4C67EC" w:rsidR="003E0295" w:rsidRDefault="003E0295" w:rsidP="003E0295">
      <w:pPr>
        <w:ind w:firstLine="709"/>
        <w:rPr>
          <w:rFonts w:ascii="Calibri" w:hAnsi="Calibri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71E6CC" wp14:editId="29AFD17D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6629400" cy="2333625"/>
                <wp:effectExtent l="9525" t="7620" r="9525" b="1143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B0A54" w14:textId="77777777" w:rsidR="00F86853" w:rsidRPr="00A6592D" w:rsidRDefault="00F86853" w:rsidP="003E029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32"/>
                                <w:u w:val="single"/>
                                <w:lang w:val="pt-BR"/>
                              </w:rPr>
                            </w:pPr>
                            <w:r w:rsidRPr="00A6592D">
                              <w:rPr>
                                <w:rFonts w:ascii="Calibri" w:hAnsi="Calibri"/>
                                <w:b/>
                                <w:color w:val="C00000"/>
                                <w:sz w:val="32"/>
                                <w:u w:val="single"/>
                                <w:lang w:val="pt-BR"/>
                              </w:rPr>
                              <w:t xml:space="preserve">É FORTEMENTE RECOMENDÁVEL QUE A INDICAÇÃO E O TRATAMENTO COM ANTÍDOTOS, ALÉM DE MÉTODOS DE REMOÇÃO EXTRACORPÓREA, </w:t>
                            </w:r>
                          </w:p>
                          <w:p w14:paraId="36A8229D" w14:textId="77777777" w:rsidR="00F86853" w:rsidRPr="00A6592D" w:rsidRDefault="00F86853" w:rsidP="003E0295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 w:val="32"/>
                                <w:u w:val="single"/>
                                <w:lang w:val="pt-BR"/>
                              </w:rPr>
                            </w:pPr>
                            <w:r w:rsidRPr="00A6592D">
                              <w:rPr>
                                <w:rFonts w:ascii="Calibri" w:hAnsi="Calibri"/>
                                <w:b/>
                                <w:color w:val="C00000"/>
                                <w:sz w:val="32"/>
                                <w:u w:val="single"/>
                                <w:lang w:val="pt-BR"/>
                              </w:rPr>
                              <w:t>SIGAM AS ORIENTAÇÕES DO CIATox DE REFERÊNCIA REGIONAL</w:t>
                            </w:r>
                            <w:r w:rsidRPr="00A6592D">
                              <w:rPr>
                                <w:rFonts w:ascii="Calibri" w:hAnsi="Calibri"/>
                                <w:color w:val="C00000"/>
                                <w:sz w:val="32"/>
                                <w:u w:val="single"/>
                                <w:lang w:val="pt-BR"/>
                              </w:rPr>
                              <w:t>.</w:t>
                            </w:r>
                          </w:p>
                          <w:p w14:paraId="77347F94" w14:textId="77777777" w:rsidR="00F86853" w:rsidRDefault="00F86853" w:rsidP="003E029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lang w:val="pt-BR"/>
                              </w:rPr>
                            </w:pPr>
                          </w:p>
                          <w:p w14:paraId="47ECE799" w14:textId="77777777" w:rsidR="00F86853" w:rsidRPr="00A6592D" w:rsidRDefault="00F86853" w:rsidP="003E029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lang w:val="pt-BR"/>
                              </w:rPr>
                            </w:pPr>
                            <w:r w:rsidRPr="00A6592D">
                              <w:rPr>
                                <w:rFonts w:ascii="Calibri" w:hAnsi="Calibri"/>
                                <w:b/>
                                <w:sz w:val="32"/>
                                <w:lang w:val="pt-BR"/>
                              </w:rPr>
                              <w:t xml:space="preserve">NO </w:t>
                            </w:r>
                            <w:r w:rsidRPr="00A6592D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lang w:val="pt-BR"/>
                              </w:rPr>
                              <w:t>SITE</w:t>
                            </w:r>
                            <w:r w:rsidRPr="00A6592D">
                              <w:rPr>
                                <w:rFonts w:ascii="Calibri" w:hAnsi="Calibri"/>
                                <w:b/>
                                <w:sz w:val="32"/>
                                <w:lang w:val="pt-BR"/>
                              </w:rPr>
                              <w:t xml:space="preserve"> DA ASSOCIAÇÃO BRASILEIRA DOS CIATox (ABRACIT) PODE SE OBTER OS NÚMEROS DOS TELEFONES DOS CIATox DE REFERÊNCIA REGIONAL POR ESTADO.  </w:t>
                            </w:r>
                          </w:p>
                          <w:p w14:paraId="667DAB87" w14:textId="77777777" w:rsidR="00F86853" w:rsidRPr="00A6592D" w:rsidRDefault="00465699" w:rsidP="003E029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hyperlink r:id="rId27" w:history="1">
                              <w:r w:rsidR="00F86853" w:rsidRPr="00A6592D">
                                <w:rPr>
                                  <w:rStyle w:val="Hyperlink"/>
                                  <w:rFonts w:ascii="Calibri" w:hAnsi="Calibri"/>
                                  <w:sz w:val="28"/>
                                  <w:lang w:val="pt-BR"/>
                                </w:rPr>
                                <w:t>https://abracit.org.br/centros/</w:t>
                              </w:r>
                            </w:hyperlink>
                            <w:r w:rsidR="00F86853" w:rsidRPr="00A6592D">
                              <w:rPr>
                                <w:rFonts w:ascii="Calibri" w:hAnsi="Calibri"/>
                                <w:sz w:val="28"/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1E6C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0;margin-top:27.95pt;width:522pt;height:183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">
                <v:textbox style="mso-fit-shape-to-text:t">
                  <w:txbxContent>
                    <w:p w14:paraId="635B0A54" w14:textId="77777777" w:rsidR="00F86853" w:rsidRPr="00A6592D" w:rsidRDefault="00F86853" w:rsidP="003E0295">
                      <w:pPr>
                        <w:jc w:val="center"/>
                        <w:rPr>
                          <w:rFonts w:ascii="Calibri" w:hAnsi="Calibri"/>
                          <w:b/>
                          <w:color w:val="C00000"/>
                          <w:sz w:val="32"/>
                          <w:u w:val="single"/>
                          <w:lang w:val="pt-BR"/>
                        </w:rPr>
                      </w:pPr>
                      <w:r w:rsidRPr="00A6592D">
                        <w:rPr>
                          <w:rFonts w:ascii="Calibri" w:hAnsi="Calibri"/>
                          <w:b/>
                          <w:color w:val="C00000"/>
                          <w:sz w:val="32"/>
                          <w:u w:val="single"/>
                          <w:lang w:val="pt-BR"/>
                        </w:rPr>
                        <w:t xml:space="preserve">É FORTEMENTE RECOMENDÁVEL QUE A INDICAÇÃO E O TRATAMENTO COM ANTÍDOTOS, ALÉM DE MÉTODOS DE REMOÇÃO EXTRACORPÓREA, </w:t>
                      </w:r>
                    </w:p>
                    <w:p w14:paraId="36A8229D" w14:textId="77777777" w:rsidR="00F86853" w:rsidRPr="00A6592D" w:rsidRDefault="00F86853" w:rsidP="003E0295">
                      <w:pPr>
                        <w:jc w:val="center"/>
                        <w:rPr>
                          <w:rFonts w:ascii="Calibri" w:hAnsi="Calibri"/>
                          <w:color w:val="C00000"/>
                          <w:sz w:val="32"/>
                          <w:u w:val="single"/>
                          <w:lang w:val="pt-BR"/>
                        </w:rPr>
                      </w:pPr>
                      <w:r w:rsidRPr="00A6592D">
                        <w:rPr>
                          <w:rFonts w:ascii="Calibri" w:hAnsi="Calibri"/>
                          <w:b/>
                          <w:color w:val="C00000"/>
                          <w:sz w:val="32"/>
                          <w:u w:val="single"/>
                          <w:lang w:val="pt-BR"/>
                        </w:rPr>
                        <w:t>SIGAM AS ORIENTAÇÕES DO CIATox DE REFERÊNCIA REGIONAL</w:t>
                      </w:r>
                      <w:r w:rsidRPr="00A6592D">
                        <w:rPr>
                          <w:rFonts w:ascii="Calibri" w:hAnsi="Calibri"/>
                          <w:color w:val="C00000"/>
                          <w:sz w:val="32"/>
                          <w:u w:val="single"/>
                          <w:lang w:val="pt-BR"/>
                        </w:rPr>
                        <w:t>.</w:t>
                      </w:r>
                    </w:p>
                    <w:p w14:paraId="77347F94" w14:textId="77777777" w:rsidR="00F86853" w:rsidRDefault="00F86853" w:rsidP="003E029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lang w:val="pt-BR"/>
                        </w:rPr>
                      </w:pPr>
                    </w:p>
                    <w:p w14:paraId="47ECE799" w14:textId="77777777" w:rsidR="00F86853" w:rsidRPr="00A6592D" w:rsidRDefault="00F86853" w:rsidP="003E029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lang w:val="pt-BR"/>
                        </w:rPr>
                      </w:pPr>
                      <w:r w:rsidRPr="00A6592D">
                        <w:rPr>
                          <w:rFonts w:ascii="Calibri" w:hAnsi="Calibri"/>
                          <w:b/>
                          <w:sz w:val="32"/>
                          <w:lang w:val="pt-BR"/>
                        </w:rPr>
                        <w:t xml:space="preserve">NO </w:t>
                      </w:r>
                      <w:r w:rsidRPr="00A6592D">
                        <w:rPr>
                          <w:rFonts w:ascii="Calibri" w:hAnsi="Calibri"/>
                          <w:b/>
                          <w:i/>
                          <w:sz w:val="32"/>
                          <w:lang w:val="pt-BR"/>
                        </w:rPr>
                        <w:t>SITE</w:t>
                      </w:r>
                      <w:r w:rsidRPr="00A6592D">
                        <w:rPr>
                          <w:rFonts w:ascii="Calibri" w:hAnsi="Calibri"/>
                          <w:b/>
                          <w:sz w:val="32"/>
                          <w:lang w:val="pt-BR"/>
                        </w:rPr>
                        <w:t xml:space="preserve"> DA ASSOCIAÇÃO BRASILEIRA DOS CIATox (ABRACIT) PODE SE OBTER OS NÚMEROS DOS TELEFONES DOS CIATox DE REFERÊNCIA REGIONAL POR ESTADO.  </w:t>
                      </w:r>
                    </w:p>
                    <w:p w14:paraId="667DAB87" w14:textId="77777777" w:rsidR="00F86853" w:rsidRPr="00A6592D" w:rsidRDefault="00465699" w:rsidP="003E0295">
                      <w:pPr>
                        <w:jc w:val="center"/>
                        <w:rPr>
                          <w:lang w:val="pt-BR"/>
                        </w:rPr>
                      </w:pPr>
                      <w:hyperlink r:id="rId28" w:history="1">
                        <w:r w:rsidR="00F86853" w:rsidRPr="00A6592D">
                          <w:rPr>
                            <w:rStyle w:val="Hyperlink"/>
                            <w:rFonts w:ascii="Calibri" w:hAnsi="Calibri"/>
                            <w:sz w:val="28"/>
                            <w:lang w:val="pt-BR"/>
                          </w:rPr>
                          <w:t>https://abracit.org.br/centros/</w:t>
                        </w:r>
                      </w:hyperlink>
                      <w:r w:rsidR="00F86853" w:rsidRPr="00A6592D">
                        <w:rPr>
                          <w:rFonts w:ascii="Calibri" w:hAnsi="Calibri"/>
                          <w:sz w:val="28"/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90CB4F" w14:textId="6BFCCC55" w:rsidR="003E0295" w:rsidRDefault="003E0295" w:rsidP="003E0295">
      <w:pPr>
        <w:ind w:firstLine="709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 xml:space="preserve"> </w:t>
      </w:r>
      <w:r w:rsidR="00A63344" w:rsidRPr="005A5366">
        <w:rPr>
          <w:rFonts w:ascii="Calibri" w:hAnsi="Calibri"/>
          <w:lang w:val="pt-BR"/>
        </w:rPr>
        <w:t xml:space="preserve"> </w:t>
      </w:r>
    </w:p>
    <w:p w14:paraId="2EA60266" w14:textId="77777777" w:rsidR="003E0295" w:rsidRDefault="003E0295" w:rsidP="00A63344">
      <w:pPr>
        <w:ind w:firstLine="709"/>
        <w:rPr>
          <w:rFonts w:ascii="Calibri" w:hAnsi="Calibri"/>
          <w:lang w:val="pt-BR"/>
        </w:rPr>
      </w:pPr>
    </w:p>
    <w:p w14:paraId="31B6D5F7" w14:textId="77777777" w:rsidR="003E0295" w:rsidRDefault="003E0295" w:rsidP="00A63344">
      <w:pPr>
        <w:ind w:firstLine="709"/>
        <w:rPr>
          <w:rFonts w:ascii="Calibri" w:hAnsi="Calibri"/>
          <w:lang w:val="pt-BR"/>
        </w:rPr>
      </w:pPr>
    </w:p>
    <w:p w14:paraId="4E3B2AD3" w14:textId="77777777" w:rsidR="003E0295" w:rsidRDefault="003E0295" w:rsidP="00A63344">
      <w:pPr>
        <w:ind w:firstLine="709"/>
        <w:rPr>
          <w:rFonts w:ascii="Calibri" w:hAnsi="Calibri"/>
          <w:lang w:val="pt-BR"/>
        </w:rPr>
      </w:pPr>
    </w:p>
    <w:p w14:paraId="2B0B3C3E" w14:textId="45306904" w:rsidR="00A63344" w:rsidRDefault="00A63344" w:rsidP="00A63344">
      <w:pPr>
        <w:ind w:firstLine="709"/>
        <w:rPr>
          <w:rFonts w:ascii="Calibri" w:hAnsi="Calibri"/>
          <w:lang w:val="pt-BR"/>
        </w:rPr>
      </w:pPr>
      <w:r w:rsidRPr="005A5366">
        <w:rPr>
          <w:rFonts w:ascii="Calibri" w:hAnsi="Calibri"/>
          <w:lang w:val="pt-BR"/>
        </w:rPr>
        <w:t xml:space="preserve"> </w:t>
      </w:r>
    </w:p>
    <w:p w14:paraId="7B3D8481" w14:textId="77777777" w:rsidR="00A63344" w:rsidRPr="00F53AB7" w:rsidRDefault="00A63344" w:rsidP="00A63344">
      <w:pPr>
        <w:pStyle w:val="Recuodecorpodetexto"/>
        <w:widowControl w:val="0"/>
        <w:tabs>
          <w:tab w:val="left" w:pos="748"/>
        </w:tabs>
        <w:spacing w:after="0" w:line="240" w:lineRule="auto"/>
        <w:rPr>
          <w:rFonts w:ascii="Calibri" w:hAnsi="Calibri" w:cs="Calibri"/>
          <w:bCs/>
          <w:sz w:val="28"/>
          <w:lang w:val="pt-BR"/>
        </w:rPr>
        <w:sectPr w:rsidR="00A63344" w:rsidRPr="00F53AB7" w:rsidSect="009807A5">
          <w:headerReference w:type="even" r:id="rId29"/>
          <w:headerReference w:type="default" r:id="rId30"/>
          <w:headerReference w:type="first" r:id="rId31"/>
          <w:type w:val="continuous"/>
          <w:pgSz w:w="11907" w:h="16840" w:code="9"/>
          <w:pgMar w:top="720" w:right="720" w:bottom="720" w:left="720" w:header="709" w:footer="0" w:gutter="0"/>
          <w:pgNumType w:start="1" w:chapStyle="1"/>
          <w:cols w:space="708"/>
          <w:docGrid w:linePitch="360"/>
        </w:sectPr>
      </w:pPr>
    </w:p>
    <w:p w14:paraId="021130F1" w14:textId="77777777" w:rsidR="00FB203D" w:rsidRDefault="00FB203D" w:rsidP="00543DA3">
      <w:pPr>
        <w:spacing w:line="276" w:lineRule="auto"/>
        <w:jc w:val="center"/>
        <w:rPr>
          <w:rFonts w:ascii="Calibri" w:hAnsi="Calibri"/>
          <w:lang w:val="pt-BR"/>
        </w:rPr>
      </w:pPr>
    </w:p>
    <w:p w14:paraId="688F4C90" w14:textId="77777777" w:rsidR="0051041E" w:rsidRDefault="0051041E" w:rsidP="0051041E">
      <w:pPr>
        <w:spacing w:line="276" w:lineRule="auto"/>
        <w:jc w:val="center"/>
        <w:rPr>
          <w:rFonts w:ascii="Calibri" w:hAnsi="Calibri"/>
          <w:lang w:val="pt-BR"/>
        </w:rPr>
      </w:pPr>
      <w:r>
        <w:rPr>
          <w:rFonts w:ascii="Calibri" w:hAnsi="Calibri"/>
          <w:b/>
          <w:lang w:val="pt-BR"/>
        </w:rPr>
        <w:t>FORMA</w:t>
      </w:r>
      <w:r w:rsidRPr="005A5366">
        <w:rPr>
          <w:rFonts w:ascii="Calibri" w:hAnsi="Calibri"/>
          <w:b/>
          <w:lang w:val="pt-BR"/>
        </w:rPr>
        <w:t xml:space="preserve"> FARMACÊUTICA, </w:t>
      </w:r>
      <w:r>
        <w:rPr>
          <w:rFonts w:ascii="Calibri" w:hAnsi="Calibri"/>
          <w:b/>
          <w:lang w:val="pt-BR"/>
        </w:rPr>
        <w:t xml:space="preserve">PRINCIPAIS INDICAÇÕES, SUMÁRIO DOS MECANISMOS DE AÇÃO, </w:t>
      </w:r>
      <w:r w:rsidRPr="005A5366">
        <w:rPr>
          <w:rFonts w:ascii="Calibri" w:hAnsi="Calibri"/>
          <w:b/>
          <w:lang w:val="pt-BR"/>
        </w:rPr>
        <w:t>DOSES RECOMENDADAS</w:t>
      </w:r>
      <w:r>
        <w:rPr>
          <w:rFonts w:ascii="Calibri" w:hAnsi="Calibri"/>
          <w:b/>
          <w:lang w:val="pt-BR"/>
        </w:rPr>
        <w:t xml:space="preserve">, APRESENTAÇÕES FARMACÊUTICAS </w:t>
      </w:r>
      <w:r w:rsidRPr="005A5366">
        <w:rPr>
          <w:rFonts w:ascii="Calibri" w:hAnsi="Calibri"/>
          <w:b/>
          <w:lang w:val="pt-BR"/>
        </w:rPr>
        <w:t xml:space="preserve">E ESTOQUE MÍNIMO PARA </w:t>
      </w:r>
      <w:r w:rsidRPr="00DE346F">
        <w:rPr>
          <w:rFonts w:ascii="Calibri" w:hAnsi="Calibri"/>
          <w:b/>
          <w:color w:val="C00000"/>
          <w:u w:val="single"/>
          <w:lang w:val="pt-BR"/>
        </w:rPr>
        <w:t>UM TRATAMENTO</w:t>
      </w:r>
      <w:r w:rsidRPr="005A5366">
        <w:rPr>
          <w:rFonts w:ascii="Calibri" w:hAnsi="Calibri"/>
          <w:b/>
          <w:lang w:val="pt-BR"/>
        </w:rPr>
        <w:t xml:space="preserve"> DE ACORDO COM OS TIPOS DE ANTÍDOTOS</w:t>
      </w:r>
      <w:r w:rsidRPr="005A5366">
        <w:rPr>
          <w:rFonts w:ascii="Calibri" w:hAnsi="Calibri"/>
          <w:lang w:val="pt-BR"/>
        </w:rPr>
        <w:t>.</w:t>
      </w:r>
    </w:p>
    <w:p w14:paraId="5C79274D" w14:textId="77777777" w:rsidR="00FB203D" w:rsidRDefault="00FB203D" w:rsidP="00543DA3">
      <w:pPr>
        <w:spacing w:line="276" w:lineRule="auto"/>
        <w:jc w:val="center"/>
        <w:rPr>
          <w:rFonts w:ascii="Calibri" w:hAnsi="Calibri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198"/>
        <w:gridCol w:w="7190"/>
        <w:gridCol w:w="2644"/>
      </w:tblGrid>
      <w:tr w:rsidR="00F04737" w:rsidRPr="0089272C" w14:paraId="3F51EE6A" w14:textId="77777777" w:rsidTr="00961DB5">
        <w:tc>
          <w:tcPr>
            <w:tcW w:w="766" w:type="pct"/>
            <w:shd w:val="clear" w:color="auto" w:fill="auto"/>
          </w:tcPr>
          <w:p w14:paraId="2EE59089" w14:textId="77777777" w:rsidR="00F04737" w:rsidRPr="006C070E" w:rsidRDefault="00F04737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C070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Antídotos, forma farmacêutica</w:t>
            </w:r>
          </w:p>
        </w:tc>
        <w:tc>
          <w:tcPr>
            <w:tcW w:w="1039" w:type="pct"/>
            <w:shd w:val="clear" w:color="auto" w:fill="auto"/>
          </w:tcPr>
          <w:p w14:paraId="37E6B043" w14:textId="77777777" w:rsidR="00F04737" w:rsidRPr="007937DE" w:rsidRDefault="00F04737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Exemplos de principais indicações</w:t>
            </w:r>
            <w:r w:rsidR="00D71B24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de uso do antídoto de acordo com </w:t>
            </w:r>
            <w:r w:rsidR="004C7F67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as substâncias envolvidas nas intoxicações</w:t>
            </w:r>
          </w:p>
        </w:tc>
        <w:tc>
          <w:tcPr>
            <w:tcW w:w="2336" w:type="pct"/>
          </w:tcPr>
          <w:p w14:paraId="2804C1AC" w14:textId="77777777" w:rsidR="00F04737" w:rsidRPr="008100B6" w:rsidRDefault="008100B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8100B6">
              <w:rPr>
                <w:rFonts w:ascii="Calibri" w:hAnsi="Calibri"/>
                <w:b/>
                <w:sz w:val="22"/>
                <w:szCs w:val="22"/>
                <w:lang w:val="pt-BR"/>
              </w:rPr>
              <w:t>Sumário do mecanismo de ação e d</w:t>
            </w:r>
            <w:r w:rsidR="00F04737" w:rsidRPr="008100B6">
              <w:rPr>
                <w:rFonts w:ascii="Calibri" w:hAnsi="Calibri"/>
                <w:b/>
                <w:sz w:val="22"/>
                <w:szCs w:val="22"/>
                <w:lang w:val="pt-BR"/>
              </w:rPr>
              <w:t>oses recomendadas</w:t>
            </w:r>
          </w:p>
          <w:p w14:paraId="5986BA53" w14:textId="77777777" w:rsidR="00AC301A" w:rsidRPr="008100B6" w:rsidRDefault="00AC301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859" w:type="pct"/>
          </w:tcPr>
          <w:p w14:paraId="20A6F000" w14:textId="77777777" w:rsidR="00F04737" w:rsidRPr="007937DE" w:rsidRDefault="00CF357D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Apresentação </w:t>
            </w:r>
            <w:r w:rsidR="00F04737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e estoque mínimo recomendado para </w:t>
            </w:r>
            <w:r w:rsidR="00EA157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o </w:t>
            </w:r>
            <w:r w:rsidR="00F04737" w:rsidRPr="007937D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tratamento</w:t>
            </w:r>
            <w:r w:rsidR="00EA157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de um </w:t>
            </w:r>
            <w:r w:rsidR="00567252" w:rsidRPr="007937D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adulto</w:t>
            </w:r>
            <w:r w:rsidR="00EA157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com </w:t>
            </w:r>
            <w:r w:rsidR="00F04737" w:rsidRPr="007937D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peso</w:t>
            </w:r>
            <w:r w:rsidR="00EA157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estimado em </w:t>
            </w:r>
            <w:r w:rsidR="00F04737" w:rsidRPr="007937D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70 kg</w:t>
            </w:r>
            <w:r w:rsidR="00EA157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.</w:t>
            </w:r>
          </w:p>
        </w:tc>
      </w:tr>
      <w:tr w:rsidR="00F51748" w:rsidRPr="00512BD6" w14:paraId="1EA7F920" w14:textId="77777777" w:rsidTr="00961DB5">
        <w:tc>
          <w:tcPr>
            <w:tcW w:w="766" w:type="pct"/>
            <w:shd w:val="clear" w:color="auto" w:fill="auto"/>
          </w:tcPr>
          <w:p w14:paraId="45343E1C" w14:textId="4E20D769" w:rsidR="009E0ADF" w:rsidRPr="006C070E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bookmarkStart w:id="7" w:name="_Toc125971520"/>
            <w:bookmarkStart w:id="8" w:name="_Toc126746417"/>
            <w:bookmarkStart w:id="9" w:name="_Toc126746566"/>
            <w:bookmarkStart w:id="10" w:name="_Toc126750578"/>
            <w:r w:rsidRPr="00973196">
              <w:rPr>
                <w:rStyle w:val="Ttulo2Char"/>
                <w:rFonts w:ascii="Calibri" w:hAnsi="Calibri" w:cs="Calibri"/>
                <w:bCs w:val="0"/>
                <w:i/>
                <w:iCs/>
                <w:sz w:val="22"/>
                <w:szCs w:val="22"/>
              </w:rPr>
              <w:t>N</w:t>
            </w:r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 xml:space="preserve">-ACETILCISTEÍNA </w:t>
            </w:r>
            <w:r w:rsidR="00F51748"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(NAC)</w:t>
            </w:r>
            <w:bookmarkEnd w:id="7"/>
            <w:bookmarkEnd w:id="8"/>
            <w:bookmarkEnd w:id="9"/>
            <w:bookmarkEnd w:id="10"/>
            <w:r w:rsidR="00F51748" w:rsidRPr="006C070E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, </w:t>
            </w:r>
            <w:r w:rsidR="00F51748" w:rsidRPr="006C070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inj.</w:t>
            </w:r>
            <w:r w:rsidR="00F51748" w:rsidRPr="006C070E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</w:t>
            </w:r>
            <w:r w:rsidR="007E11F4" w:rsidRPr="006C070E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</w:t>
            </w:r>
          </w:p>
          <w:p w14:paraId="003F9DB4" w14:textId="77777777" w:rsidR="00F51748" w:rsidRPr="006B34C0" w:rsidRDefault="00F51748" w:rsidP="00961DB5">
            <w:p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1039" w:type="pct"/>
            <w:shd w:val="clear" w:color="auto" w:fill="auto"/>
          </w:tcPr>
          <w:p w14:paraId="2391BA97" w14:textId="77777777" w:rsidR="00F51748" w:rsidRPr="001454AB" w:rsidRDefault="00F51748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1454AB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Paracetamol</w:t>
            </w:r>
          </w:p>
          <w:p w14:paraId="28AFEF2D" w14:textId="77777777" w:rsidR="00950176" w:rsidRPr="001454AB" w:rsidRDefault="0095017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</w:pPr>
          </w:p>
          <w:p w14:paraId="00775BAE" w14:textId="2E21D3C1" w:rsidR="00950176" w:rsidRPr="001454AB" w:rsidRDefault="001454AB" w:rsidP="004B4916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E</w:t>
            </w:r>
            <w:r w:rsidR="00C04229"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 xml:space="preserve">m anexos </w:t>
            </w:r>
            <w:r w:rsidR="00934796"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 xml:space="preserve">1-3 </w:t>
            </w:r>
            <w:r w:rsidR="00F171FE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 xml:space="preserve">são mostrados </w:t>
            </w:r>
            <w:r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os</w:t>
            </w:r>
            <w:r w:rsidR="00F171FE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 xml:space="preserve"> principais </w:t>
            </w:r>
            <w:r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c</w:t>
            </w:r>
            <w:r w:rsidRPr="001454AB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ritérios para indicação do uso da NAC nas</w:t>
            </w:r>
            <w:r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 xml:space="preserve"> </w:t>
            </w:r>
            <w:r w:rsidR="00C04229"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intoxicações por paracetamol</w:t>
            </w:r>
            <w:r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o n</w:t>
            </w:r>
            <w:r w:rsidRPr="001454AB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omograma da concentração plasmática do paracetamol para avaliar a necessidade do uso da NAC</w:t>
            </w:r>
            <w:r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 xml:space="preserve">, </w:t>
            </w:r>
            <w:r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e o e</w:t>
            </w:r>
            <w:r w:rsidRPr="001454AB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 xml:space="preserve">squema de infusão IV de 2 bolsas de NAC em 12h </w:t>
            </w:r>
            <w:r w:rsidR="00A827D4"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(pg</w:t>
            </w:r>
            <w:r w:rsidR="008C082D"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s</w:t>
            </w:r>
            <w:r w:rsidR="00A827D4"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. 3</w:t>
            </w:r>
            <w:r w:rsidR="004B4916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9</w:t>
            </w:r>
            <w:r w:rsidR="008C082D"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-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4</w:t>
            </w:r>
            <w:r w:rsidR="004B4916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1</w:t>
            </w:r>
            <w:r w:rsidR="00A827D4"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)</w:t>
            </w:r>
            <w:r w:rsidR="00C04229" w:rsidRPr="001454AB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.</w:t>
            </w:r>
          </w:p>
        </w:tc>
        <w:tc>
          <w:tcPr>
            <w:tcW w:w="2336" w:type="pct"/>
          </w:tcPr>
          <w:p w14:paraId="7E04DCE0" w14:textId="77777777" w:rsidR="00430274" w:rsidRDefault="00BF7CA7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Após ingestão de doses tóxicas, o paracetamol é rapidamente metabolizado </w:t>
            </w:r>
            <w:r w:rsidR="007C1253">
              <w:rPr>
                <w:rFonts w:ascii="Calibri" w:hAnsi="Calibri"/>
                <w:b/>
                <w:sz w:val="22"/>
                <w:szCs w:val="22"/>
                <w:lang w:val="pt-BR"/>
              </w:rPr>
              <w:t>no metabólito hepatotóxico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Pr="00BF7CA7">
              <w:rPr>
                <w:rFonts w:ascii="Calibri" w:hAnsi="Calibri"/>
                <w:b/>
                <w:sz w:val="22"/>
                <w:szCs w:val="22"/>
                <w:lang w:val="pt-BR"/>
              </w:rPr>
              <w:t>N-acetil-p-benzoquinonaimina (NAPQI)</w:t>
            </w:r>
            <w:r w:rsidR="008831F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. </w:t>
            </w:r>
          </w:p>
          <w:p w14:paraId="1B9A8633" w14:textId="198533D8" w:rsidR="00991DC6" w:rsidRDefault="00430274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4B38C0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N-</w:t>
            </w:r>
            <w:r w:rsidRPr="004B38C0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Acetilcisteína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(</w:t>
            </w:r>
            <w:r w:rsidR="00C04229">
              <w:rPr>
                <w:rFonts w:ascii="Calibri" w:hAnsi="Calibri"/>
                <w:b/>
                <w:sz w:val="22"/>
                <w:szCs w:val="22"/>
                <w:lang w:val="pt-BR"/>
              </w:rPr>
              <w:t>NAC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)</w:t>
            </w:r>
            <w:r w:rsidR="00C776D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, um precursor da síntese de glutationa, </w:t>
            </w:r>
            <w:r w:rsidR="007B6B5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preveni </w:t>
            </w:r>
            <w:r w:rsidR="00C776D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efetivamente a </w:t>
            </w:r>
            <w:r w:rsidR="007B6B55">
              <w:rPr>
                <w:rFonts w:ascii="Calibri" w:hAnsi="Calibri"/>
                <w:b/>
                <w:sz w:val="22"/>
                <w:szCs w:val="22"/>
                <w:lang w:val="pt-BR"/>
              </w:rPr>
              <w:t>hepatotoxicidade induzida p</w:t>
            </w:r>
            <w:r w:rsidR="008831F5">
              <w:rPr>
                <w:rFonts w:ascii="Calibri" w:hAnsi="Calibri"/>
                <w:b/>
                <w:sz w:val="22"/>
                <w:szCs w:val="22"/>
                <w:lang w:val="pt-BR"/>
              </w:rPr>
              <w:t>elo NAPQI</w:t>
            </w:r>
            <w:r w:rsidR="007B6B55" w:rsidRPr="007B6B5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antes que os</w:t>
            </w:r>
            <w:r w:rsidR="007B6B5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="007B6B55" w:rsidRPr="007B6B55">
              <w:rPr>
                <w:rFonts w:ascii="Calibri" w:hAnsi="Calibri"/>
                <w:b/>
                <w:sz w:val="22"/>
                <w:szCs w:val="22"/>
                <w:lang w:val="pt-BR"/>
              </w:rPr>
              <w:t>estoques de glutationa se reduzam a 30%</w:t>
            </w:r>
            <w:r w:rsidR="00BF7CA7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do normal</w:t>
            </w:r>
            <w:r w:rsidR="000A48D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, o que </w:t>
            </w:r>
            <w:r w:rsidR="007B6B55">
              <w:rPr>
                <w:rFonts w:ascii="Calibri" w:hAnsi="Calibri"/>
                <w:b/>
                <w:sz w:val="22"/>
                <w:szCs w:val="22"/>
                <w:lang w:val="pt-BR"/>
              </w:rPr>
              <w:t>ocorre dentro de 6-8h após a ingestão do paracetamol.</w:t>
            </w:r>
            <w:r w:rsidR="000A48D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</w:p>
          <w:p w14:paraId="121B051B" w14:textId="77777777" w:rsidR="007B6B55" w:rsidRDefault="008831F5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Mecanismos adicionais menos relevantes da NAC na prevenção da hepatotoxicidade incluem substrato para sulfatação, s</w:t>
            </w:r>
            <w:r w:rsidRPr="008831F5">
              <w:rPr>
                <w:rFonts w:ascii="Calibri" w:hAnsi="Calibri"/>
                <w:b/>
                <w:sz w:val="22"/>
                <w:szCs w:val="22"/>
                <w:lang w:val="pt-BR"/>
              </w:rPr>
              <w:t>ubstitu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ição </w:t>
            </w:r>
            <w:r w:rsidRPr="008831F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intracelular da glutationa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por ligação direta ao </w:t>
            </w:r>
            <w:r w:rsidRPr="008831F5">
              <w:rPr>
                <w:rFonts w:ascii="Calibri" w:hAnsi="Calibri"/>
                <w:b/>
                <w:sz w:val="22"/>
                <w:szCs w:val="22"/>
                <w:lang w:val="pt-BR"/>
              </w:rPr>
              <w:t>NAPQI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, e por aumento da redução do NAPQI a paracetamol. </w:t>
            </w:r>
          </w:p>
          <w:p w14:paraId="319FA797" w14:textId="77777777" w:rsidR="00950176" w:rsidRDefault="000A48D3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Uma vez a hepatotoxicidade instalada, a NAC diminui a toxicidade por vários mecanismos indiretos que incluem </w:t>
            </w:r>
            <w:r w:rsidR="00991DC6">
              <w:rPr>
                <w:rFonts w:ascii="Calibri" w:hAnsi="Calibri"/>
                <w:b/>
                <w:sz w:val="22"/>
                <w:szCs w:val="22"/>
                <w:lang w:val="pt-BR"/>
              </w:rPr>
              <w:t>melhora d</w:t>
            </w:r>
            <w:r w:rsidR="006606B9">
              <w:rPr>
                <w:rFonts w:ascii="Calibri" w:hAnsi="Calibri"/>
                <w:b/>
                <w:sz w:val="22"/>
                <w:szCs w:val="22"/>
                <w:lang w:val="pt-BR"/>
              </w:rPr>
              <w:t>a tonicidade</w:t>
            </w:r>
            <w:r w:rsidR="00991DC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="006606B9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da </w:t>
            </w:r>
            <w:r w:rsidR="00991DC6">
              <w:rPr>
                <w:rFonts w:ascii="Calibri" w:hAnsi="Calibri"/>
                <w:b/>
                <w:sz w:val="22"/>
                <w:szCs w:val="22"/>
                <w:lang w:val="pt-BR"/>
              </w:rPr>
              <w:t>microvascula</w:t>
            </w:r>
            <w:r w:rsidR="006606B9">
              <w:rPr>
                <w:rFonts w:ascii="Calibri" w:hAnsi="Calibri"/>
                <w:b/>
                <w:sz w:val="22"/>
                <w:szCs w:val="22"/>
                <w:lang w:val="pt-BR"/>
              </w:rPr>
              <w:t>tu</w:t>
            </w:r>
            <w:r w:rsidR="00991DC6">
              <w:rPr>
                <w:rFonts w:ascii="Calibri" w:hAnsi="Calibri"/>
                <w:b/>
                <w:sz w:val="22"/>
                <w:szCs w:val="22"/>
                <w:lang w:val="pt-BR"/>
              </w:rPr>
              <w:t>r</w:t>
            </w:r>
            <w:r w:rsidR="006606B9">
              <w:rPr>
                <w:rFonts w:ascii="Calibri" w:hAnsi="Calibri"/>
                <w:b/>
                <w:sz w:val="22"/>
                <w:szCs w:val="22"/>
                <w:lang w:val="pt-BR"/>
              </w:rPr>
              <w:t>a</w:t>
            </w:r>
            <w:r w:rsidR="00991DC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e </w:t>
            </w:r>
            <w:r w:rsidR="00FF25B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aumento da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eliminação de radicais livres</w:t>
            </w:r>
            <w:r w:rsidR="009B0048">
              <w:rPr>
                <w:rFonts w:ascii="Calibri" w:hAnsi="Calibri"/>
                <w:b/>
                <w:sz w:val="22"/>
                <w:szCs w:val="22"/>
                <w:lang w:val="pt-BR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do fornecimento de oxigênio, da produção de ATP mitocondrial</w:t>
            </w:r>
            <w:r w:rsidR="00FF25B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e do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efeito antioxidante.  </w:t>
            </w:r>
          </w:p>
          <w:p w14:paraId="54ED09F8" w14:textId="77777777" w:rsidR="00950176" w:rsidRDefault="0095017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19555A80" w14:textId="178BF683" w:rsidR="004B4916" w:rsidRDefault="009E0ADF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A48D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Esquema de infusão </w:t>
            </w:r>
            <w:r w:rsidR="001E51A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IV </w:t>
            </w:r>
            <w:r w:rsidRPr="000A48D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de 2 bolsas </w:t>
            </w:r>
            <w:r w:rsidR="0044195D" w:rsidRPr="000A48D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em </w:t>
            </w:r>
            <w:r w:rsidRPr="000A48D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12h</w:t>
            </w:r>
            <w:r w:rsidR="0044195D" w:rsidRPr="000A48D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(</w:t>
            </w:r>
            <w:r w:rsidR="008100B6" w:rsidRPr="000A48D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esquema SNAP</w:t>
            </w:r>
            <w:r w:rsidR="00BB2A4C" w:rsidRPr="000A48D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, </w:t>
            </w:r>
            <w:r w:rsidR="00BB2A4C" w:rsidRPr="000A48D3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The Scottish and Newcastle Acetylcysteine Protocol</w:t>
            </w:r>
            <w:r w:rsidRPr="000A48D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)</w:t>
            </w:r>
          </w:p>
          <w:p w14:paraId="55D94ABF" w14:textId="77777777" w:rsidR="00B34FFA" w:rsidRDefault="00B34FF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0C15584F" w14:textId="77777777" w:rsidR="00B34FFA" w:rsidRDefault="00B34FF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69AC1D0D" w14:textId="77777777" w:rsidR="00BB2A4C" w:rsidRPr="00BB2A4C" w:rsidRDefault="00BB2A4C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A</w:t>
            </w:r>
            <w:r w:rsidR="005A28DF">
              <w:rPr>
                <w:rFonts w:ascii="Calibri" w:hAnsi="Calibri"/>
                <w:b/>
                <w:sz w:val="22"/>
                <w:szCs w:val="22"/>
                <w:lang w:val="pt-BR"/>
              </w:rPr>
              <w:t>dultos e crianças/adolescentes com peso &gt; 40 kg</w:t>
            </w:r>
          </w:p>
          <w:p w14:paraId="0AE36C7E" w14:textId="77777777" w:rsidR="00C0069D" w:rsidRPr="007937DE" w:rsidRDefault="00C0069D" w:rsidP="00961DB5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1ª dose</w:t>
            </w:r>
            <w:r w:rsidR="00D4211F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="00F51748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100 mg/kg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, </w:t>
            </w:r>
            <w:r w:rsidR="00DE335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diluído em 200 ml de SG 5% ou SF 0,9%, </w:t>
            </w:r>
            <w:r w:rsidR="00175B00">
              <w:rPr>
                <w:rFonts w:ascii="Calibri" w:hAnsi="Calibri"/>
                <w:sz w:val="22"/>
                <w:szCs w:val="22"/>
                <w:lang w:val="pt-BR"/>
              </w:rPr>
              <w:t>para correr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em </w:t>
            </w:r>
            <w:r w:rsidR="00F51748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2h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F51748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(50 mg/kg/h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>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</w:p>
          <w:p w14:paraId="51C5DF69" w14:textId="77777777" w:rsidR="00D15F05" w:rsidRPr="007937DE" w:rsidRDefault="00C0069D" w:rsidP="00961DB5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2ª dose</w:t>
            </w:r>
            <w:r w:rsidR="00D4211F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200 mg/kg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, </w:t>
            </w:r>
            <w:r w:rsidR="00DE335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diluído em 1000 ml de SG 5% ou SF 0,9% para correr 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em </w:t>
            </w:r>
            <w:r w:rsidR="00F51748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10h</w:t>
            </w:r>
            <w:r w:rsidR="00DE335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DE3350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(20 mg/kg/h).</w:t>
            </w:r>
            <w:r w:rsidR="00DE335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2F189D7B" w14:textId="77777777" w:rsidR="00F51748" w:rsidRDefault="00D4211F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Dose t</w:t>
            </w:r>
            <w:r w:rsidR="00DE3350" w:rsidRPr="007937D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otal= 300 mg/kg</w:t>
            </w:r>
            <w:r w:rsidR="00DE3350"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5E5E4575" w14:textId="77777777" w:rsidR="00BD4C72" w:rsidRDefault="00BD4C72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619B882C" w14:textId="77777777" w:rsidR="005A28DF" w:rsidRDefault="005A28DF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0F2A9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Crianças com peso &lt; 40 kg</w:t>
            </w:r>
            <w:r w:rsidR="0044195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: </w:t>
            </w:r>
            <w:r w:rsidR="00991DC6" w:rsidRPr="0044195D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AJUSTAR </w:t>
            </w:r>
            <w:r w:rsidR="00991DC6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A CONCENTRAÇÃO DA SOLUÇÃO E </w:t>
            </w:r>
            <w:r w:rsidR="00991DC6" w:rsidRPr="0044195D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O VOLUME DE INFUSÃO DE ACORDO COM O PESO</w:t>
            </w:r>
            <w:r w:rsidR="00991DC6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.</w:t>
            </w:r>
          </w:p>
          <w:p w14:paraId="26C3E4B1" w14:textId="77777777" w:rsidR="00D81979" w:rsidRPr="00D81979" w:rsidRDefault="00D81979" w:rsidP="00961DB5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D81979">
              <w:rPr>
                <w:rFonts w:ascii="Calibri" w:hAnsi="Calibri"/>
                <w:b/>
                <w:sz w:val="22"/>
                <w:szCs w:val="22"/>
                <w:lang w:val="pt-BR"/>
              </w:rPr>
              <w:t>1ª dose: 100 mg/kg</w:t>
            </w:r>
            <w:r w:rsidR="000F2A9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para correr em </w:t>
            </w:r>
            <w:r w:rsidRPr="00D81979">
              <w:rPr>
                <w:rFonts w:ascii="Calibri" w:hAnsi="Calibri"/>
                <w:b/>
                <w:sz w:val="22"/>
                <w:szCs w:val="22"/>
                <w:lang w:val="pt-BR"/>
              </w:rPr>
              <w:t>2h</w:t>
            </w:r>
            <w:r w:rsidRPr="00D8197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D81979">
              <w:rPr>
                <w:rFonts w:ascii="Calibri" w:hAnsi="Calibri"/>
                <w:b/>
                <w:sz w:val="22"/>
                <w:szCs w:val="22"/>
                <w:lang w:val="pt-BR"/>
              </w:rPr>
              <w:t>(50 mg/kg/h</w:t>
            </w:r>
            <w:r w:rsidRPr="00D81979">
              <w:rPr>
                <w:rFonts w:ascii="Calibri" w:hAnsi="Calibri"/>
                <w:sz w:val="22"/>
                <w:szCs w:val="22"/>
                <w:lang w:val="pt-BR"/>
              </w:rPr>
              <w:t>).</w:t>
            </w:r>
          </w:p>
          <w:p w14:paraId="44291292" w14:textId="77777777" w:rsidR="00D81979" w:rsidRPr="000F2A98" w:rsidRDefault="00D81979" w:rsidP="00961DB5">
            <w:pPr>
              <w:numPr>
                <w:ilvl w:val="1"/>
                <w:numId w:val="24"/>
              </w:num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0F2A98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Preparar a solução na concentração de 50 mg/ml. </w:t>
            </w:r>
          </w:p>
          <w:p w14:paraId="76BA54AF" w14:textId="77777777" w:rsidR="00F153DD" w:rsidRPr="00F153DD" w:rsidRDefault="00D81979" w:rsidP="00961DB5">
            <w:pPr>
              <w:numPr>
                <w:ilvl w:val="1"/>
                <w:numId w:val="24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Exemplo para uma criança de 10 kg</w:t>
            </w:r>
            <w:r w:rsidR="00F153DD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 w:rsidR="000F2A98" w:rsidRPr="000F2A98">
              <w:rPr>
                <w:rFonts w:ascii="Calibri" w:hAnsi="Calibri"/>
                <w:b/>
                <w:sz w:val="22"/>
                <w:szCs w:val="22"/>
                <w:lang w:val="pt-BR"/>
              </w:rPr>
              <w:t>100 mg/kg= 1000 mg</w:t>
            </w:r>
          </w:p>
          <w:p w14:paraId="654FC21F" w14:textId="77777777" w:rsidR="00D81979" w:rsidRPr="000F2A98" w:rsidRDefault="008857E4" w:rsidP="00961DB5">
            <w:pPr>
              <w:numPr>
                <w:ilvl w:val="1"/>
                <w:numId w:val="24"/>
              </w:num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 w:rsidRPr="004E476B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P</w:t>
            </w:r>
            <w:r w:rsidR="000F2A98" w:rsidRPr="004E476B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ara se obter uma solução de 50 mg/ml</w:t>
            </w:r>
            <w:r w:rsidR="000F2A98" w:rsidRPr="000F2A98">
              <w:rPr>
                <w:rFonts w:ascii="Calibri" w:hAnsi="Calibri"/>
                <w:bCs/>
                <w:sz w:val="22"/>
                <w:szCs w:val="22"/>
                <w:lang w:val="pt-BR"/>
              </w:rPr>
              <w:t>, diluir 10 ml da apresentação de NAC a 10 % (100 mg/ml) em 10 ml de SG 5% ou SF 0,9% e correr 10 ml/h</w:t>
            </w:r>
            <w:r w:rsidR="0044195D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em 2 h</w:t>
            </w:r>
            <w:r w:rsidR="000F2A98" w:rsidRPr="000F2A98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.  </w:t>
            </w:r>
            <w:r w:rsidR="00F153DD" w:rsidRPr="000F2A98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 </w:t>
            </w:r>
            <w:r w:rsidR="00D81979" w:rsidRPr="000F2A98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  </w:t>
            </w:r>
          </w:p>
          <w:p w14:paraId="3FD7058A" w14:textId="77777777" w:rsidR="00D81979" w:rsidRPr="00D81979" w:rsidRDefault="00D81979" w:rsidP="00961DB5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D81979">
              <w:rPr>
                <w:rFonts w:ascii="Calibri" w:hAnsi="Calibri"/>
                <w:b/>
                <w:sz w:val="22"/>
                <w:szCs w:val="22"/>
                <w:lang w:val="pt-BR"/>
              </w:rPr>
              <w:t>2ª dose: 200 mg/kg</w:t>
            </w:r>
            <w:r w:rsidR="000F2A9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para correr em</w:t>
            </w:r>
            <w:r w:rsidRPr="00D8197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D81979">
              <w:rPr>
                <w:rFonts w:ascii="Calibri" w:hAnsi="Calibri"/>
                <w:b/>
                <w:sz w:val="22"/>
                <w:szCs w:val="22"/>
                <w:lang w:val="pt-BR"/>
              </w:rPr>
              <w:t>10h</w:t>
            </w:r>
            <w:r w:rsidRPr="00D8197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D81979">
              <w:rPr>
                <w:rFonts w:ascii="Calibri" w:hAnsi="Calibri"/>
                <w:b/>
                <w:sz w:val="22"/>
                <w:szCs w:val="22"/>
                <w:lang w:val="pt-BR"/>
              </w:rPr>
              <w:t>(20 mg/kg/h</w:t>
            </w:r>
            <w:r w:rsidR="000F2A98">
              <w:rPr>
                <w:rFonts w:ascii="Calibri" w:hAnsi="Calibri"/>
                <w:b/>
                <w:sz w:val="22"/>
                <w:szCs w:val="22"/>
                <w:lang w:val="pt-BR"/>
              </w:rPr>
              <w:t>)</w:t>
            </w:r>
          </w:p>
          <w:p w14:paraId="36FC56A6" w14:textId="77777777" w:rsidR="000F2A98" w:rsidRPr="000F2A98" w:rsidRDefault="000F2A98" w:rsidP="00961DB5">
            <w:pPr>
              <w:numPr>
                <w:ilvl w:val="1"/>
                <w:numId w:val="24"/>
              </w:num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0F2A98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Preparar a solução na concentração de 10 mg/ml. </w:t>
            </w:r>
          </w:p>
          <w:p w14:paraId="0994FE24" w14:textId="77777777" w:rsidR="000F2A98" w:rsidRPr="00F153DD" w:rsidRDefault="000F2A98" w:rsidP="00961DB5">
            <w:pPr>
              <w:numPr>
                <w:ilvl w:val="1"/>
                <w:numId w:val="24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Exemplo para uma criança de 10 kg: 2</w:t>
            </w:r>
            <w:r w:rsidRPr="000F2A9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00 mg/kg=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2</w:t>
            </w:r>
            <w:r w:rsidRPr="000F2A98">
              <w:rPr>
                <w:rFonts w:ascii="Calibri" w:hAnsi="Calibri"/>
                <w:b/>
                <w:sz w:val="22"/>
                <w:szCs w:val="22"/>
                <w:lang w:val="pt-BR"/>
              </w:rPr>
              <w:t>000 mg</w:t>
            </w:r>
          </w:p>
          <w:p w14:paraId="33E66AC5" w14:textId="77777777" w:rsidR="000F2A98" w:rsidRPr="000F2A98" w:rsidRDefault="004E476B" w:rsidP="00961DB5">
            <w:pPr>
              <w:numPr>
                <w:ilvl w:val="1"/>
                <w:numId w:val="24"/>
              </w:num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 w:rsidRPr="004E476B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P</w:t>
            </w:r>
            <w:r w:rsidR="000F2A98" w:rsidRPr="004E476B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ara se obter uma solução de 10 mg/ml</w:t>
            </w:r>
            <w:r w:rsidR="000F2A98" w:rsidRPr="000F2A98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, diluir </w:t>
            </w:r>
            <w:r w:rsidR="000F2A98">
              <w:rPr>
                <w:rFonts w:ascii="Calibri" w:hAnsi="Calibri"/>
                <w:bCs/>
                <w:sz w:val="22"/>
                <w:szCs w:val="22"/>
                <w:lang w:val="pt-BR"/>
              </w:rPr>
              <w:t>2</w:t>
            </w:r>
            <w:r w:rsidR="000F2A98" w:rsidRPr="000F2A98">
              <w:rPr>
                <w:rFonts w:ascii="Calibri" w:hAnsi="Calibri"/>
                <w:bCs/>
                <w:sz w:val="22"/>
                <w:szCs w:val="22"/>
                <w:lang w:val="pt-BR"/>
              </w:rPr>
              <w:t>0 ml da apresentação de NAC a 10 % (100 mg/ml) em 1</w:t>
            </w:r>
            <w:r w:rsidR="000F2A98">
              <w:rPr>
                <w:rFonts w:ascii="Calibri" w:hAnsi="Calibri"/>
                <w:bCs/>
                <w:sz w:val="22"/>
                <w:szCs w:val="22"/>
                <w:lang w:val="pt-BR"/>
              </w:rPr>
              <w:t>8</w:t>
            </w:r>
            <w:r w:rsidR="000F2A98" w:rsidRPr="000F2A98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0 ml de SG 5% ou SF 0,9% e correr </w:t>
            </w:r>
            <w:r w:rsidR="000F2A98">
              <w:rPr>
                <w:rFonts w:ascii="Calibri" w:hAnsi="Calibri"/>
                <w:bCs/>
                <w:sz w:val="22"/>
                <w:szCs w:val="22"/>
                <w:lang w:val="pt-BR"/>
              </w:rPr>
              <w:t>2</w:t>
            </w:r>
            <w:r w:rsidR="000F2A98" w:rsidRPr="000F2A98">
              <w:rPr>
                <w:rFonts w:ascii="Calibri" w:hAnsi="Calibri"/>
                <w:bCs/>
                <w:sz w:val="22"/>
                <w:szCs w:val="22"/>
                <w:lang w:val="pt-BR"/>
              </w:rPr>
              <w:t>0 ml/h</w:t>
            </w:r>
            <w:r w:rsidR="0044195D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em 10 h</w:t>
            </w:r>
            <w:r w:rsidR="000F2A98" w:rsidRPr="000F2A98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.       </w:t>
            </w:r>
          </w:p>
          <w:p w14:paraId="299ACA2E" w14:textId="77777777" w:rsidR="000F2A98" w:rsidRDefault="000F2A9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Dose total= 300 mg/kg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324B0C8C" w14:textId="77777777" w:rsidR="005977ED" w:rsidRPr="007937DE" w:rsidRDefault="005977ED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Doses adicionais de NAC devem ser consideradas de acordo com a evolução.</w:t>
            </w:r>
          </w:p>
        </w:tc>
        <w:tc>
          <w:tcPr>
            <w:tcW w:w="859" w:type="pct"/>
          </w:tcPr>
          <w:p w14:paraId="042D156E" w14:textId="77777777" w:rsidR="00F51748" w:rsidRPr="007937DE" w:rsidRDefault="00F5174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ampolas com 3 ml </w:t>
            </w:r>
            <w:r w:rsidR="0044195D">
              <w:rPr>
                <w:rFonts w:ascii="Calibri" w:hAnsi="Calibri"/>
                <w:sz w:val="22"/>
                <w:szCs w:val="22"/>
                <w:lang w:val="pt-BR"/>
              </w:rPr>
              <w:t xml:space="preserve">de NAC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a 10% (100 mg/ml). </w:t>
            </w:r>
          </w:p>
          <w:p w14:paraId="509BC3C6" w14:textId="77777777" w:rsidR="00764D5C" w:rsidRPr="007937DE" w:rsidRDefault="00764D5C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02B26038" w14:textId="77777777" w:rsidR="00F51748" w:rsidRDefault="00F51748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: 70 ampolas</w:t>
            </w:r>
            <w:r w:rsidR="00696E50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(21 g)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1021FD4B" w14:textId="77777777" w:rsidR="007904DB" w:rsidRDefault="007904D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2C539C82" w14:textId="77777777" w:rsidR="006C4A48" w:rsidRPr="007904DB" w:rsidRDefault="006C4A48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F51748" w:rsidRPr="00862C21" w14:paraId="26713840" w14:textId="77777777" w:rsidTr="00961DB5">
        <w:tc>
          <w:tcPr>
            <w:tcW w:w="766" w:type="pct"/>
            <w:shd w:val="clear" w:color="auto" w:fill="auto"/>
          </w:tcPr>
          <w:p w14:paraId="2D0D088F" w14:textId="7C9D54F0" w:rsidR="00F51748" w:rsidRPr="006B34C0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highlight w:val="yellow"/>
                <w:lang w:val="pt-BR"/>
              </w:rPr>
            </w:pPr>
            <w:bookmarkStart w:id="11" w:name="_Toc125971521"/>
            <w:bookmarkStart w:id="12" w:name="_Toc126746418"/>
            <w:bookmarkStart w:id="13" w:name="_Toc126746567"/>
            <w:bookmarkStart w:id="14" w:name="_Toc126750579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ÁCIDO FOLÍNICO</w:t>
            </w:r>
            <w:bookmarkEnd w:id="11"/>
            <w:bookmarkEnd w:id="12"/>
            <w:bookmarkEnd w:id="13"/>
            <w:bookmarkEnd w:id="14"/>
            <w:r w:rsidRPr="00DE0BAC">
              <w:rPr>
                <w:rStyle w:val="Ttulo2Char"/>
                <w:rFonts w:ascii="Calibri" w:hAnsi="Calibri" w:cs="Calibri"/>
                <w:b w:val="0"/>
                <w:sz w:val="22"/>
                <w:szCs w:val="22"/>
                <w:lang w:val="pt-BR"/>
              </w:rPr>
              <w:t xml:space="preserve"> </w:t>
            </w:r>
            <w:r w:rsidR="00F51748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(folinato de cálcio), inj.</w:t>
            </w:r>
          </w:p>
        </w:tc>
        <w:tc>
          <w:tcPr>
            <w:tcW w:w="1039" w:type="pct"/>
            <w:shd w:val="clear" w:color="auto" w:fill="auto"/>
          </w:tcPr>
          <w:p w14:paraId="680E17CF" w14:textId="77777777" w:rsidR="00F51748" w:rsidRPr="00950176" w:rsidRDefault="00253F59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t-BR"/>
              </w:rPr>
            </w:pPr>
            <w:r w:rsidRPr="00DE346F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Metotrexato e metabólitos tóxicos ativos do metanol (á</w:t>
            </w:r>
            <w:r w:rsidR="00A14BD1" w:rsidRPr="00DE346F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cido fórmico</w:t>
            </w:r>
            <w:r w:rsidRPr="00DE346F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)</w:t>
            </w:r>
          </w:p>
        </w:tc>
        <w:tc>
          <w:tcPr>
            <w:tcW w:w="2336" w:type="pct"/>
          </w:tcPr>
          <w:p w14:paraId="7FB4536F" w14:textId="77777777" w:rsidR="00991DC6" w:rsidRPr="004862E0" w:rsidRDefault="004127F0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18"/>
                <w:lang w:val="pt-BR"/>
              </w:rPr>
            </w:pPr>
            <w:r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>Para ser ativo, o</w:t>
            </w:r>
            <w:r w:rsidR="002A2751"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 xml:space="preserve"> ácido fólico precisa ser reduzido </w:t>
            </w:r>
            <w:r w:rsidR="002A2751" w:rsidRPr="004862E0">
              <w:rPr>
                <w:rFonts w:ascii="Calibri" w:hAnsi="Calibri"/>
                <w:b/>
                <w:i/>
                <w:sz w:val="22"/>
                <w:szCs w:val="18"/>
                <w:lang w:val="pt-BR"/>
              </w:rPr>
              <w:t>in vivo</w:t>
            </w:r>
            <w:r w:rsidR="002A2751"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 xml:space="preserve"> pela diidrofolato redutase para tetraidrofolato. </w:t>
            </w:r>
          </w:p>
          <w:p w14:paraId="43F1D777" w14:textId="77777777" w:rsidR="002A2751" w:rsidRDefault="002A2751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 xml:space="preserve">O </w:t>
            </w:r>
            <w:r w:rsidRPr="004862E0">
              <w:rPr>
                <w:rFonts w:ascii="Calibri" w:hAnsi="Calibri"/>
                <w:b/>
                <w:color w:val="C00000"/>
                <w:sz w:val="22"/>
                <w:szCs w:val="18"/>
                <w:lang w:val="pt-BR"/>
              </w:rPr>
              <w:t>á</w:t>
            </w:r>
            <w:r w:rsidRPr="00991DC6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cido folínico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não requer redução pela </w:t>
            </w:r>
            <w:r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>diidrofolato redutase para ativação</w:t>
            </w:r>
            <w:r w:rsidR="005D04B6"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 xml:space="preserve">, sendo um antídoto de </w:t>
            </w:r>
            <w:r w:rsidR="005D04B6" w:rsidRPr="004862E0">
              <w:rPr>
                <w:rFonts w:ascii="Calibri" w:hAnsi="Calibri"/>
                <w:b/>
                <w:color w:val="C00000"/>
                <w:sz w:val="22"/>
                <w:szCs w:val="18"/>
                <w:lang w:val="pt-BR"/>
              </w:rPr>
              <w:t xml:space="preserve">1ª linha nas </w:t>
            </w:r>
            <w:r w:rsidR="004127F0" w:rsidRPr="004862E0">
              <w:rPr>
                <w:rFonts w:ascii="Calibri" w:hAnsi="Calibri"/>
                <w:b/>
                <w:color w:val="C00000"/>
                <w:sz w:val="22"/>
                <w:szCs w:val="18"/>
                <w:lang w:val="pt-BR"/>
              </w:rPr>
              <w:t>sobredoses/</w:t>
            </w:r>
            <w:r w:rsidR="005D04B6" w:rsidRPr="004862E0">
              <w:rPr>
                <w:rFonts w:ascii="Calibri" w:hAnsi="Calibri"/>
                <w:b/>
                <w:color w:val="C00000"/>
                <w:sz w:val="22"/>
                <w:szCs w:val="18"/>
                <w:lang w:val="pt-BR"/>
              </w:rPr>
              <w:t>intoxicações por m</w:t>
            </w:r>
            <w:r w:rsidR="005D04B6" w:rsidRPr="005D04B6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etotrexato, um inibidor da </w:t>
            </w:r>
            <w:r w:rsidR="005D04B6" w:rsidRPr="004862E0">
              <w:rPr>
                <w:rFonts w:ascii="Calibri" w:hAnsi="Calibri"/>
                <w:b/>
                <w:color w:val="C00000"/>
                <w:sz w:val="22"/>
                <w:szCs w:val="18"/>
                <w:lang w:val="pt-BR"/>
              </w:rPr>
              <w:t>diidrofolato redutase</w:t>
            </w:r>
            <w:r w:rsidR="005D04B6"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 xml:space="preserve">. </w:t>
            </w:r>
            <w:r w:rsidR="005D04B6" w:rsidRPr="002A2751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</w:p>
          <w:p w14:paraId="2FE3B9BD" w14:textId="77777777" w:rsidR="00DC1571" w:rsidRDefault="00DC1571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</w:p>
          <w:p w14:paraId="4E594267" w14:textId="77777777" w:rsidR="005D04B6" w:rsidRPr="00F15E0B" w:rsidRDefault="005D04B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F15E0B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O metanol é metabolizado em formas ativas e tóxicas de ácido fórmico</w:t>
            </w:r>
            <w:r w:rsidR="00F15E0B" w:rsidRPr="00F15E0B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. </w:t>
            </w:r>
            <w:r w:rsidR="00F15E0B" w:rsidRPr="00F15E0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Folatos, incluindo o ácido folínico, aceleram a metabolização do ácido fórmico em metabólitos não tóxicos. Uma vez que o metanol não interfere com a síntese do </w:t>
            </w:r>
            <w:r w:rsidR="00F15E0B"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>tetraidrofolato, tanto o ácido fólico com</w:t>
            </w:r>
            <w:r w:rsidR="005F33E5"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>o</w:t>
            </w:r>
            <w:r w:rsidR="00F15E0B"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 xml:space="preserve"> ácido folínico são </w:t>
            </w:r>
            <w:r w:rsidR="005F33E5"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>elegív</w:t>
            </w:r>
            <w:r w:rsidR="00F15E0B" w:rsidRPr="004862E0">
              <w:rPr>
                <w:rFonts w:ascii="Calibri" w:hAnsi="Calibri"/>
                <w:b/>
                <w:sz w:val="22"/>
                <w:szCs w:val="18"/>
                <w:lang w:val="pt-BR"/>
              </w:rPr>
              <w:t>eis para o tratamento da intoxicação por metanol.</w:t>
            </w:r>
          </w:p>
          <w:p w14:paraId="515552D7" w14:textId="77777777" w:rsidR="005D04B6" w:rsidRDefault="005D04B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5157F1BF" w14:textId="77777777" w:rsidR="00253F59" w:rsidRDefault="00253F59" w:rsidP="00961DB5">
            <w:pPr>
              <w:numPr>
                <w:ilvl w:val="0"/>
                <w:numId w:val="2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Metotrexato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35E21EF4" w14:textId="32BB4EC6" w:rsidR="00253F59" w:rsidRDefault="00253F59" w:rsidP="00961DB5">
            <w:pPr>
              <w:numPr>
                <w:ilvl w:val="0"/>
                <w:numId w:val="4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N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a suspeita de intoxicação ou se a dose ingerida for &gt; 3mg/kg, iniciar o ácido folínico IV na dose de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10-25 mg/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m</w:t>
            </w:r>
            <w:r w:rsidRPr="007937DE">
              <w:rPr>
                <w:rFonts w:ascii="Calibri" w:hAnsi="Calibri"/>
                <w:sz w:val="22"/>
                <w:szCs w:val="22"/>
                <w:vertAlign w:val="superscript"/>
                <w:lang w:val="pt-BR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, em infusão de 15-30 minutos de 6 em 6h.</w:t>
            </w:r>
          </w:p>
          <w:p w14:paraId="3ECA4611" w14:textId="56C9D27A" w:rsidR="00253F59" w:rsidRDefault="00253F59" w:rsidP="00961DB5">
            <w:pPr>
              <w:numPr>
                <w:ilvl w:val="0"/>
                <w:numId w:val="4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253F59">
              <w:rPr>
                <w:rFonts w:ascii="Calibri" w:hAnsi="Calibri"/>
                <w:sz w:val="22"/>
                <w:szCs w:val="22"/>
                <w:lang w:val="pt-BR"/>
              </w:rPr>
              <w:t>Nos casos mais graves ou com comprometimento da função renal iniciar com 100 mg/m</w:t>
            </w:r>
            <w:r w:rsidRPr="00253F59">
              <w:rPr>
                <w:rFonts w:ascii="Calibri" w:hAnsi="Calibri"/>
                <w:sz w:val="22"/>
                <w:szCs w:val="22"/>
                <w:vertAlign w:val="superscript"/>
                <w:lang w:val="pt-BR"/>
              </w:rPr>
              <w:t>2</w:t>
            </w:r>
            <w:r w:rsidRPr="00253F59">
              <w:rPr>
                <w:rFonts w:ascii="Calibri" w:hAnsi="Calibri"/>
                <w:sz w:val="22"/>
                <w:szCs w:val="22"/>
                <w:lang w:val="pt-BR"/>
              </w:rPr>
              <w:t xml:space="preserve"> IV a cada 3-6h. </w:t>
            </w:r>
          </w:p>
          <w:p w14:paraId="70EEC254" w14:textId="179C7647" w:rsidR="00253F59" w:rsidRPr="00253F59" w:rsidRDefault="00253F59" w:rsidP="00961DB5">
            <w:pPr>
              <w:numPr>
                <w:ilvl w:val="0"/>
                <w:numId w:val="4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253F59">
              <w:rPr>
                <w:rFonts w:ascii="Calibri" w:hAnsi="Calibri"/>
                <w:sz w:val="22"/>
                <w:szCs w:val="22"/>
                <w:lang w:val="pt-BR"/>
              </w:rPr>
              <w:t xml:space="preserve">As doses sequenciais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devem ser </w:t>
            </w:r>
            <w:r w:rsidRPr="00253F59">
              <w:rPr>
                <w:rFonts w:ascii="Calibri" w:hAnsi="Calibri"/>
                <w:sz w:val="22"/>
                <w:szCs w:val="22"/>
                <w:lang w:val="pt-BR"/>
              </w:rPr>
              <w:t>ajustadas de acordo com o nível sérico de metotrexato (nomograma de Bleyer), podendo variar de 10 a 1000 mg/m</w:t>
            </w:r>
            <w:r w:rsidRPr="00253F59">
              <w:rPr>
                <w:rFonts w:ascii="Calibri" w:hAnsi="Calibri"/>
                <w:sz w:val="22"/>
                <w:szCs w:val="22"/>
                <w:vertAlign w:val="superscript"/>
                <w:lang w:val="pt-BR"/>
              </w:rPr>
              <w:t>2</w:t>
            </w:r>
            <w:r w:rsidRPr="00253F59">
              <w:rPr>
                <w:rFonts w:ascii="Calibri" w:hAnsi="Calibri"/>
                <w:sz w:val="22"/>
                <w:szCs w:val="22"/>
                <w:lang w:val="pt-BR"/>
              </w:rPr>
              <w:t xml:space="preserve"> IV a cada 6h.</w:t>
            </w:r>
          </w:p>
          <w:p w14:paraId="12A20DA6" w14:textId="77777777" w:rsidR="00253F59" w:rsidRPr="005D04B6" w:rsidRDefault="00253F59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6DF259F7" w14:textId="77777777" w:rsidR="008F2FB6" w:rsidRDefault="00A14BD1" w:rsidP="00961DB5">
            <w:pPr>
              <w:numPr>
                <w:ilvl w:val="0"/>
                <w:numId w:val="2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Ácido fórmico ou metanol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05724F92" w14:textId="77777777" w:rsidR="008F2FB6" w:rsidRDefault="008F2FB6">
            <w:pPr>
              <w:numPr>
                <w:ilvl w:val="1"/>
                <w:numId w:val="2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Dose precisa não estabelecida.</w:t>
            </w:r>
          </w:p>
          <w:p w14:paraId="0D634AD1" w14:textId="0238954F" w:rsidR="008F2FB6" w:rsidRDefault="00DC1571">
            <w:pPr>
              <w:numPr>
                <w:ilvl w:val="1"/>
                <w:numId w:val="2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1-2 mg/kg 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>mg IV</w:t>
            </w:r>
            <w:r w:rsidR="008F2FB6">
              <w:rPr>
                <w:rFonts w:ascii="Calibri" w:hAnsi="Calibri"/>
                <w:sz w:val="22"/>
                <w:szCs w:val="22"/>
                <w:lang w:val="pt-BR"/>
              </w:rPr>
              <w:t xml:space="preserve"> de ácido fólico ou ácido folínico, no máximo de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50-70 mg</w:t>
            </w:r>
            <w:r w:rsidR="008F2FB6">
              <w:rPr>
                <w:rFonts w:ascii="Calibri" w:hAnsi="Calibri"/>
                <w:sz w:val="22"/>
                <w:szCs w:val="22"/>
                <w:lang w:val="pt-BR"/>
              </w:rPr>
              <w:t>/dose</w:t>
            </w:r>
            <w:r w:rsidR="003C6960">
              <w:rPr>
                <w:rFonts w:ascii="Calibri" w:hAnsi="Calibri"/>
                <w:sz w:val="22"/>
                <w:szCs w:val="22"/>
                <w:lang w:val="pt-BR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a cada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4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h por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24</w:t>
            </w:r>
            <w:r w:rsidR="008F2FB6">
              <w:rPr>
                <w:rFonts w:ascii="Calibri" w:hAnsi="Calibri"/>
                <w:sz w:val="22"/>
                <w:szCs w:val="22"/>
                <w:lang w:val="pt-BR"/>
              </w:rPr>
              <w:t>-48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>h</w:t>
            </w:r>
            <w:r w:rsidR="00A14BD1"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3539DEF0" w14:textId="77777777" w:rsidR="00F51748" w:rsidRPr="007937DE" w:rsidRDefault="00DC1571">
            <w:pPr>
              <w:numPr>
                <w:ilvl w:val="1"/>
                <w:numId w:val="2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253F59">
              <w:rPr>
                <w:rFonts w:ascii="Calibri" w:hAnsi="Calibri"/>
                <w:sz w:val="22"/>
                <w:szCs w:val="22"/>
                <w:lang w:val="pt-BR"/>
              </w:rPr>
              <w:t>Recomenda-se a manutenção do tratamento até eliminação do metanol e formatos.</w:t>
            </w:r>
            <w:r w:rsidR="00A14BD1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9" w:type="pct"/>
          </w:tcPr>
          <w:p w14:paraId="082A5AB5" w14:textId="77777777" w:rsidR="00F51748" w:rsidRPr="007937DE" w:rsidRDefault="00F5174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frasco de 50 mg.</w:t>
            </w:r>
          </w:p>
          <w:p w14:paraId="5BE68A19" w14:textId="77777777" w:rsidR="00764D5C" w:rsidRPr="007937DE" w:rsidRDefault="00764D5C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364CD1B3" w14:textId="77777777" w:rsidR="00F51748" w:rsidRDefault="00F51748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 w:rsidR="00836461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14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frascos</w:t>
            </w:r>
            <w:r w:rsidR="00836461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(700 mg)</w:t>
            </w:r>
          </w:p>
          <w:p w14:paraId="3C159A17" w14:textId="77777777" w:rsidR="007904DB" w:rsidRDefault="007904D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6D81C50B" w14:textId="77777777" w:rsidR="009A516E" w:rsidRPr="007937DE" w:rsidRDefault="009A516E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DD15FF" w:rsidRPr="0089272C" w14:paraId="61B6BA28" w14:textId="77777777" w:rsidTr="00961DB5">
        <w:tc>
          <w:tcPr>
            <w:tcW w:w="766" w:type="pct"/>
            <w:shd w:val="clear" w:color="auto" w:fill="auto"/>
          </w:tcPr>
          <w:p w14:paraId="6087AF76" w14:textId="76FE0699" w:rsidR="00DD15FF" w:rsidRPr="006B34C0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15" w:name="_Toc125971522"/>
            <w:bookmarkStart w:id="16" w:name="_Toc126746419"/>
            <w:bookmarkStart w:id="17" w:name="_Toc126746568"/>
            <w:bookmarkStart w:id="18" w:name="_Toc126750580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ANTICORPOS ANTI-DIGOXINA</w:t>
            </w:r>
            <w:bookmarkEnd w:id="15"/>
            <w:bookmarkEnd w:id="16"/>
            <w:bookmarkEnd w:id="17"/>
            <w:bookmarkEnd w:id="18"/>
            <w:r w:rsidR="00DD15FF" w:rsidRPr="00973196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,</w:t>
            </w:r>
            <w:r w:rsidR="00DD15FF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inj.</w:t>
            </w:r>
          </w:p>
        </w:tc>
        <w:tc>
          <w:tcPr>
            <w:tcW w:w="1039" w:type="pct"/>
            <w:shd w:val="clear" w:color="auto" w:fill="auto"/>
          </w:tcPr>
          <w:p w14:paraId="50633542" w14:textId="77777777" w:rsidR="00035537" w:rsidRPr="00035537" w:rsidRDefault="00421E58" w:rsidP="00961DB5">
            <w:p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Intoxicação aguda ou crônica por d</w:t>
            </w:r>
            <w:r w:rsidR="00E626B5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igoxina</w:t>
            </w:r>
            <w:r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 ou</w:t>
            </w:r>
            <w:r w:rsidR="00F8021E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 digitoxina</w:t>
            </w:r>
            <w:r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,</w:t>
            </w:r>
            <w:r w:rsidR="00FF285E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 </w:t>
            </w:r>
            <w:r w:rsidR="00FF285E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e em </w:t>
            </w:r>
            <w:r w:rsidR="00E626B5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>intoxicações graves por</w:t>
            </w:r>
            <w:r w:rsidR="000613D4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ingestão de</w:t>
            </w:r>
            <w:r w:rsidR="00A47969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</w:t>
            </w:r>
            <w:r w:rsidR="00A47969" w:rsidRPr="00035537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outros glicosídeos cardíacos</w:t>
            </w:r>
            <w:r w:rsidR="00A47969" w:rsidRPr="00035537">
              <w:rPr>
                <w:rFonts w:ascii="Calibri" w:hAnsi="Calibri"/>
                <w:bCs/>
                <w:color w:val="C00000"/>
                <w:sz w:val="22"/>
                <w:szCs w:val="22"/>
                <w:lang w:val="pt-BR"/>
              </w:rPr>
              <w:t xml:space="preserve"> </w:t>
            </w:r>
            <w:r w:rsidR="009B0A32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presentes em plantas </w:t>
            </w:r>
            <w:r w:rsidR="00A47969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>como</w:t>
            </w:r>
            <w:r w:rsidR="00E626B5" w:rsidRPr="00035537">
              <w:rPr>
                <w:rFonts w:ascii="Calibri" w:hAnsi="Calibri"/>
                <w:b/>
                <w:i/>
                <w:iCs/>
                <w:sz w:val="22"/>
                <w:szCs w:val="22"/>
                <w:lang w:val="pt-BR"/>
              </w:rPr>
              <w:t xml:space="preserve"> </w:t>
            </w:r>
            <w:r w:rsidR="00E626B5" w:rsidRPr="00E626B5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u w:val="single"/>
                <w:lang w:val="pt-BR"/>
              </w:rPr>
              <w:t>Nerium oleander</w:t>
            </w:r>
            <w:r w:rsidR="00E626B5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 (espirradeira) e Thevetia peruviana </w:t>
            </w:r>
            <w:r w:rsidR="00BA3AF4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(</w:t>
            </w:r>
            <w:r w:rsidR="00E626B5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chapéu de Napoleão</w:t>
            </w:r>
            <w:r w:rsidR="00BA3AF4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)</w:t>
            </w:r>
            <w:r w:rsidR="00035537" w:rsidRPr="00035537">
              <w:rPr>
                <w:rFonts w:ascii="Calibri" w:hAnsi="Calibri"/>
                <w:b/>
                <w:i/>
                <w:iCs/>
                <w:sz w:val="22"/>
                <w:szCs w:val="22"/>
                <w:lang w:val="pt-BR"/>
              </w:rPr>
              <w:t>.</w:t>
            </w:r>
          </w:p>
          <w:p w14:paraId="08FEF454" w14:textId="77777777" w:rsidR="00035537" w:rsidRDefault="00035537" w:rsidP="00961DB5">
            <w:p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</w:p>
          <w:p w14:paraId="37EFFBB4" w14:textId="77777777" w:rsidR="008564F6" w:rsidRDefault="00035537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Também há descrição do uso bem sucedido dos a</w:t>
            </w:r>
            <w:r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nticorpos Fab anti-digoxina 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em relatos de casos e de séries de casos de envenenamentos causados por </w:t>
            </w:r>
            <w:r w:rsidRPr="009B4650">
              <w:rPr>
                <w:rFonts w:ascii="Calibri" w:hAnsi="Calibri"/>
                <w:b/>
                <w:sz w:val="22"/>
                <w:szCs w:val="22"/>
                <w:lang w:val="pt-BR"/>
              </w:rPr>
              <w:t>inge</w:t>
            </w:r>
            <w:r w:rsidR="00156705" w:rsidRPr="009B4650">
              <w:rPr>
                <w:rFonts w:ascii="Calibri" w:hAnsi="Calibri"/>
                <w:b/>
                <w:sz w:val="22"/>
                <w:szCs w:val="22"/>
                <w:lang w:val="pt-BR"/>
              </w:rPr>
              <w:t>st</w:t>
            </w:r>
            <w:r w:rsidRPr="009B4650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ão de glicosídeos cardiotóxicos presentes em toxinas dos </w:t>
            </w:r>
            <w:r w:rsidR="004B4B96" w:rsidRPr="009B4650">
              <w:rPr>
                <w:rFonts w:ascii="Calibri" w:hAnsi="Calibri"/>
                <w:b/>
                <w:sz w:val="22"/>
                <w:szCs w:val="22"/>
                <w:lang w:val="pt-BR"/>
              </w:rPr>
              <w:t>venenos de sapos</w:t>
            </w:r>
            <w:r w:rsidR="004B4B96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(</w:t>
            </w:r>
            <w:r w:rsidR="004B4B96" w:rsidRPr="00035537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Bufo </w:t>
            </w:r>
            <w:r w:rsidR="009B0A32" w:rsidRPr="00907314"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>spp</w:t>
            </w:r>
            <w:r w:rsidR="004B4B96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>)</w:t>
            </w:r>
            <w:r w:rsidR="00F8021E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</w:t>
            </w:r>
            <w:r w:rsidR="00156705" w:rsidRPr="009B4650">
              <w:rPr>
                <w:rFonts w:ascii="Calibri" w:hAnsi="Calibri"/>
                <w:b/>
                <w:sz w:val="22"/>
                <w:szCs w:val="22"/>
                <w:lang w:val="pt-BR"/>
              </w:rPr>
              <w:t>e</w:t>
            </w:r>
            <w:r w:rsidR="00141D33" w:rsidRPr="009B4650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de caranguejos gigantes</w:t>
            </w:r>
            <w:r w:rsidR="00F8021E" w:rsidRPr="009B4650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="000613D4" w:rsidRPr="009B4650">
              <w:rPr>
                <w:rFonts w:ascii="Calibri" w:hAnsi="Calibri"/>
                <w:b/>
                <w:sz w:val="22"/>
                <w:szCs w:val="22"/>
                <w:lang w:val="pt-BR"/>
              </w:rPr>
              <w:t>d</w:t>
            </w:r>
            <w:r w:rsidR="00141D33" w:rsidRPr="009B4650">
              <w:rPr>
                <w:rFonts w:ascii="Calibri" w:hAnsi="Calibri"/>
                <w:b/>
                <w:sz w:val="22"/>
                <w:szCs w:val="22"/>
                <w:lang w:val="pt-BR"/>
              </w:rPr>
              <w:t>os coqueiros</w:t>
            </w:r>
            <w:r w:rsidR="00141D33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(</w:t>
            </w:r>
            <w:r w:rsidR="00141D33" w:rsidRPr="00035537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Birgus latro</w:t>
            </w:r>
            <w:r w:rsidR="00141D33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), que habitam ilhas dos </w:t>
            </w:r>
            <w:r w:rsidR="000613D4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>o</w:t>
            </w:r>
            <w:r w:rsidR="00141D33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>ceanos</w:t>
            </w:r>
            <w:r w:rsidR="000613D4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Índico</w:t>
            </w:r>
            <w:r w:rsidR="00141D33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e </w:t>
            </w:r>
            <w:r w:rsidR="000613D4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>Pacífico</w:t>
            </w:r>
            <w:r w:rsidR="004B4B96" w:rsidRPr="00035537">
              <w:rPr>
                <w:rFonts w:ascii="Calibri" w:hAnsi="Calibri"/>
                <w:bCs/>
                <w:sz w:val="22"/>
                <w:szCs w:val="22"/>
                <w:lang w:val="pt-BR"/>
              </w:rPr>
              <w:t>.</w:t>
            </w:r>
            <w:r w:rsidR="009B0048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 </w:t>
            </w:r>
          </w:p>
          <w:p w14:paraId="0C980348" w14:textId="77777777" w:rsidR="00DD15FF" w:rsidRPr="008564F6" w:rsidRDefault="008564F6" w:rsidP="00961DB5">
            <w:pPr>
              <w:spacing w:line="276" w:lineRule="auto"/>
              <w:jc w:val="left"/>
              <w:rPr>
                <w:rFonts w:ascii="Calibri" w:hAnsi="Calibri"/>
                <w:bCs/>
                <w:iCs/>
                <w:color w:val="C00000"/>
                <w:sz w:val="22"/>
                <w:szCs w:val="22"/>
                <w:lang w:val="pt-BR"/>
              </w:rPr>
            </w:pPr>
            <w:r w:rsidRPr="009B4650">
              <w:rPr>
                <w:rFonts w:ascii="Calibri" w:eastAsia="Calibri" w:hAnsi="Calibri" w:cs="Calibri"/>
                <w:b/>
                <w:iCs/>
                <w:sz w:val="22"/>
                <w:szCs w:val="22"/>
                <w:lang w:val="pt-BR"/>
              </w:rPr>
              <w:t xml:space="preserve">Atenção em casos de ingestão de </w:t>
            </w:r>
            <w:r w:rsidRPr="008564F6">
              <w:rPr>
                <w:rFonts w:ascii="Calibri" w:eastAsia="Calibri" w:hAnsi="Calibri" w:cs="Calibri"/>
                <w:b/>
                <w:iCs/>
                <w:sz w:val="22"/>
                <w:szCs w:val="22"/>
                <w:lang w:val="pt-BR"/>
              </w:rPr>
              <w:t>noz da Índia</w:t>
            </w:r>
            <w:r w:rsidRPr="008564F6">
              <w:rPr>
                <w:rFonts w:ascii="Calibri" w:eastAsia="Calibri" w:hAnsi="Calibri" w:cs="Calibri"/>
                <w:bCs/>
                <w:iCs/>
                <w:sz w:val="22"/>
                <w:szCs w:val="22"/>
                <w:lang w:val="pt-BR"/>
              </w:rPr>
              <w:t xml:space="preserve"> (</w:t>
            </w:r>
            <w:r w:rsidRPr="008564F6">
              <w:rPr>
                <w:rFonts w:ascii="Calibri" w:eastAsia="Calibri" w:hAnsi="Calibri" w:cs="Calibri"/>
                <w:bCs/>
                <w:i/>
                <w:sz w:val="22"/>
                <w:szCs w:val="22"/>
                <w:lang w:val="pt-BR"/>
              </w:rPr>
              <w:t>Aleurites moluccana</w:t>
            </w:r>
            <w:r w:rsidRPr="008564F6">
              <w:rPr>
                <w:rFonts w:ascii="Calibri" w:eastAsia="Calibri" w:hAnsi="Calibri" w:cs="Calibri"/>
                <w:bCs/>
                <w:iCs/>
                <w:sz w:val="22"/>
                <w:szCs w:val="22"/>
                <w:lang w:val="pt-BR"/>
              </w:rPr>
              <w:t>), pois normalmente a semente vendida com esse nome trata-se</w:t>
            </w:r>
            <w:r w:rsidR="00907314">
              <w:rPr>
                <w:rFonts w:ascii="Calibri" w:eastAsia="Calibri" w:hAnsi="Calibri" w:cs="Calibri"/>
                <w:bCs/>
                <w:iCs/>
                <w:sz w:val="22"/>
                <w:szCs w:val="22"/>
                <w:lang w:val="pt-BR"/>
              </w:rPr>
              <w:t>, habitualmente,</w:t>
            </w:r>
            <w:r w:rsidRPr="008564F6">
              <w:rPr>
                <w:rFonts w:ascii="Calibri" w:eastAsia="Calibri" w:hAnsi="Calibri" w:cs="Calibri"/>
                <w:bCs/>
                <w:iCs/>
                <w:sz w:val="22"/>
                <w:szCs w:val="22"/>
                <w:lang w:val="pt-BR"/>
              </w:rPr>
              <w:t xml:space="preserve"> de </w:t>
            </w:r>
            <w:r w:rsidRPr="008564F6"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  <w:t>Thevetia peruviana</w:t>
            </w:r>
            <w:r w:rsidRPr="008564F6">
              <w:rPr>
                <w:rFonts w:ascii="Calibri" w:eastAsia="Calibri" w:hAnsi="Calibri" w:cs="Calibri"/>
                <w:bCs/>
                <w:iCs/>
                <w:sz w:val="22"/>
                <w:szCs w:val="22"/>
                <w:lang w:val="pt-BR"/>
              </w:rPr>
              <w:t>.</w:t>
            </w:r>
            <w:r w:rsidR="009B0048" w:rsidRPr="008564F6">
              <w:rPr>
                <w:rFonts w:ascii="Calibri" w:hAnsi="Calibri"/>
                <w:bCs/>
                <w:i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36" w:type="pct"/>
          </w:tcPr>
          <w:p w14:paraId="3EC2A14C" w14:textId="77777777" w:rsidR="001E169F" w:rsidRDefault="008746F9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Anticorpos </w:t>
            </w:r>
            <w:r w:rsidR="00F8247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(Ac)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heterólogos Fab anti-digoxina de origem ovina </w:t>
            </w:r>
            <w:r w:rsidR="00D961D6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são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o tratamento de 1ª linha nas intoxicações </w:t>
            </w:r>
            <w:r w:rsidR="005C0D3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agudas/crônicas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graves </w:t>
            </w:r>
            <w:r w:rsidR="00FF26D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por glicosídeos cardíacos </w:t>
            </w:r>
            <w:r w:rsidR="00FF188A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ameaçadoras ou potencialmente ameaçadoras à vida</w:t>
            </w:r>
            <w:r w:rsidR="004B4A0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 As principais indicações são</w:t>
            </w:r>
            <w:r w:rsid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:</w:t>
            </w:r>
          </w:p>
          <w:p w14:paraId="4BB2A6AB" w14:textId="77777777" w:rsidR="001E169F" w:rsidRDefault="001E169F" w:rsidP="00961DB5">
            <w:pPr>
              <w:pStyle w:val="PargrafodaLis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B</w:t>
            </w:r>
            <w:r w:rsidR="008746F9" w:rsidRP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radiarritmias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: </w:t>
            </w:r>
            <w:r w:rsidR="00FF188A" w:rsidRP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bradicardia sintomática ou bloqueios AV de 2º e 3º grau</w:t>
            </w:r>
            <w:r w:rsidR="009B0A3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não responsiva</w:t>
            </w:r>
            <w:r w:rsidR="00141D33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s</w:t>
            </w:r>
            <w:r w:rsidR="009B0A3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à atropina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,</w:t>
            </w:r>
          </w:p>
          <w:p w14:paraId="1FB0C198" w14:textId="77777777" w:rsidR="001E169F" w:rsidRDefault="006606B9" w:rsidP="00961DB5">
            <w:pPr>
              <w:pStyle w:val="PargrafodaLis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</w:t>
            </w:r>
            <w:r w:rsidR="008746F9" w:rsidRP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rritmias ventriculares</w:t>
            </w:r>
            <w:r w:rsid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,</w:t>
            </w:r>
          </w:p>
          <w:p w14:paraId="5AFFA508" w14:textId="77777777" w:rsidR="001E169F" w:rsidRDefault="006606B9" w:rsidP="00961DB5">
            <w:pPr>
              <w:pStyle w:val="PargrafodaLis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H</w:t>
            </w:r>
            <w:r w:rsidR="00FF188A" w:rsidRP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ipercalemia (&gt; 5 mEq/l) não responsiva às terapias convencionais</w:t>
            </w:r>
            <w:r w:rsidR="001E169F" w:rsidRP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, </w:t>
            </w:r>
          </w:p>
          <w:p w14:paraId="1C6B0252" w14:textId="77777777" w:rsidR="00F8247E" w:rsidRDefault="006606B9" w:rsidP="00961DB5">
            <w:pPr>
              <w:pStyle w:val="PargrafodaLis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</w:t>
            </w:r>
            <w:r w:rsidR="004862E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ose de digoxina ingerida &gt; 4 mg</w:t>
            </w:r>
            <w:r w:rsidR="001E169F" w:rsidRP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em </w:t>
            </w:r>
            <w:r w:rsid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crianças </w:t>
            </w:r>
            <w:r w:rsidR="004862E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e </w:t>
            </w:r>
            <w:r w:rsid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&gt; </w:t>
            </w:r>
            <w:r w:rsidR="004862E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10</w:t>
            </w:r>
            <w:r w:rsid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mg em adultos</w:t>
            </w:r>
            <w:r w:rsidR="008746F9" w:rsidRPr="001E169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. </w:t>
            </w:r>
          </w:p>
          <w:p w14:paraId="5044B22B" w14:textId="77777777" w:rsidR="002B2A3D" w:rsidRPr="00141D33" w:rsidRDefault="002B2A3D" w:rsidP="00961DB5">
            <w:pPr>
              <w:pStyle w:val="PargrafodaLis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141D33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Deve ser administrado em infusão </w:t>
            </w:r>
            <w:r w:rsidR="00141D33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lenta </w:t>
            </w:r>
            <w:r w:rsidRPr="00141D33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IV</w:t>
            </w:r>
            <w:r w:rsidR="00141D33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,</w:t>
            </w:r>
            <w:r w:rsidRPr="00141D33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ao redor de 30 minutos, e em bolus IV nas arritmias com risco de morte.</w:t>
            </w:r>
          </w:p>
          <w:p w14:paraId="7674062B" w14:textId="77777777" w:rsidR="00F8247E" w:rsidRDefault="00F8247E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5C1D84B3" w14:textId="77777777" w:rsidR="00F8247E" w:rsidRPr="00F8247E" w:rsidRDefault="00D961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D961D6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Doses indicadas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: Segundo o Toxbase, </w:t>
            </w:r>
            <w:r w:rsidR="00F036EC">
              <w:rPr>
                <w:rFonts w:ascii="Calibri" w:hAnsi="Calibri"/>
                <w:sz w:val="22"/>
                <w:szCs w:val="22"/>
                <w:lang w:val="pt-BR"/>
              </w:rPr>
              <w:t>baseado nas evidên</w:t>
            </w:r>
            <w:r w:rsidR="000613D4">
              <w:rPr>
                <w:rFonts w:ascii="Calibri" w:hAnsi="Calibri"/>
                <w:sz w:val="22"/>
                <w:szCs w:val="22"/>
                <w:lang w:val="pt-BR"/>
              </w:rPr>
              <w:t>ci</w:t>
            </w:r>
            <w:r w:rsidR="00F036EC">
              <w:rPr>
                <w:rFonts w:ascii="Calibri" w:hAnsi="Calibri"/>
                <w:sz w:val="22"/>
                <w:szCs w:val="22"/>
                <w:lang w:val="pt-BR"/>
              </w:rPr>
              <w:t xml:space="preserve">as disponíveis, de acordo com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a</w:t>
            </w:r>
            <w:r w:rsidR="00F8247E" w:rsidRPr="00F8247E">
              <w:rPr>
                <w:rFonts w:ascii="Calibri" w:hAnsi="Calibri"/>
                <w:sz w:val="22"/>
                <w:szCs w:val="22"/>
                <w:lang w:val="pt-BR"/>
              </w:rPr>
              <w:t xml:space="preserve">s duas doses de Ac Fab anti-digoxina previamente estabelecidas, a 1ª visando neutralizar a quantidade total de digoxina ingerida e a 2ª metade dessa dose, </w:t>
            </w:r>
            <w:r w:rsidR="00F8247E" w:rsidRPr="00E3415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mostram que a 2ª dose é adequada para o tratamento da maioria dos pacientes, conforme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F8247E" w:rsidRPr="00E3415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abaixo descrito</w:t>
            </w:r>
            <w:r w:rsidR="000613D4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156705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numa regra prática nos </w:t>
            </w:r>
            <w:r w:rsidR="000613D4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itens 1 e 2</w:t>
            </w:r>
            <w:r w:rsidR="00F8247E" w:rsidRPr="00F8247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7378A236" w14:textId="77777777" w:rsidR="008A1A75" w:rsidRPr="004862E0" w:rsidRDefault="00F8247E" w:rsidP="00961DB5">
            <w:pPr>
              <w:pStyle w:val="PargrafodaLista"/>
              <w:numPr>
                <w:ilvl w:val="0"/>
                <w:numId w:val="60"/>
              </w:numPr>
              <w:spacing w:line="276" w:lineRule="auto"/>
              <w:jc w:val="left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pt-BR"/>
              </w:rPr>
              <w:t>Concentração sérica de digoxina disponível (menos de 6h da overdose):</w:t>
            </w:r>
          </w:p>
          <w:p w14:paraId="75F3F3FD" w14:textId="77777777" w:rsidR="008A1A75" w:rsidRPr="004862E0" w:rsidRDefault="008A1A75" w:rsidP="00961D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pt-BR"/>
              </w:rPr>
              <w:t>Número de frascos de Ac Fab anti-digoxina</w:t>
            </w: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=</w:t>
            </w:r>
          </w:p>
          <w:p w14:paraId="2AE43336" w14:textId="77777777" w:rsidR="008A1A75" w:rsidRPr="004862E0" w:rsidRDefault="00202076" w:rsidP="00961D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t-BR"/>
              </w:rPr>
              <w:t>[</w:t>
            </w:r>
            <w:r w:rsidR="008A1A75" w:rsidRPr="004862E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t-BR"/>
              </w:rPr>
              <w:t>Concentração de digoxina sérica (ng/ml)] X peso</w:t>
            </w:r>
          </w:p>
          <w:p w14:paraId="0F8D73AA" w14:textId="77777777" w:rsidR="008A1A75" w:rsidRPr="004862E0" w:rsidRDefault="008A1A75" w:rsidP="00961D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200</w:t>
            </w:r>
          </w:p>
          <w:p w14:paraId="409AFA74" w14:textId="77777777" w:rsidR="00E3415D" w:rsidRPr="004862E0" w:rsidRDefault="008A1A75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Ex</w:t>
            </w:r>
            <w:r w:rsidR="00E3415D"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.</w:t>
            </w: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: adulto de </w:t>
            </w:r>
            <w:r w:rsidR="004B4A00"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8</w:t>
            </w: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0 kg, [digoxina= 10 ng/ml]=</w:t>
            </w:r>
            <w:r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 xml:space="preserve"> </w:t>
            </w:r>
            <w:r w:rsidR="00991DC6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>(</w:t>
            </w:r>
            <w:r w:rsidR="00CB56ED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>10 X 80</w:t>
            </w:r>
            <w:r w:rsidR="00991DC6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>)</w:t>
            </w:r>
            <w:r w:rsidR="00CB56ED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 xml:space="preserve">/200 = </w:t>
            </w:r>
            <w:r w:rsidR="004B4A00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>4</w:t>
            </w:r>
            <w:r w:rsidR="00E3415D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 xml:space="preserve"> frascos de Ac anti-digoxina</w:t>
            </w:r>
            <w:r w:rsidR="00D961D6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 xml:space="preserve"> IV</w:t>
            </w:r>
            <w:r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 xml:space="preserve"> </w:t>
            </w:r>
          </w:p>
          <w:p w14:paraId="148708BD" w14:textId="77777777" w:rsidR="00E3415D" w:rsidRPr="004862E0" w:rsidRDefault="00E3415D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</w:p>
          <w:p w14:paraId="1B66F0E9" w14:textId="77777777" w:rsidR="00E3415D" w:rsidRPr="004862E0" w:rsidRDefault="00E3415D" w:rsidP="00961DB5">
            <w:pPr>
              <w:pStyle w:val="PargrafodaLista"/>
              <w:numPr>
                <w:ilvl w:val="0"/>
                <w:numId w:val="60"/>
              </w:numPr>
              <w:spacing w:line="276" w:lineRule="auto"/>
              <w:jc w:val="left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pt-BR"/>
              </w:rPr>
              <w:t>Quan</w:t>
            </w:r>
            <w:r w:rsidR="00D961D6" w:rsidRPr="004862E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pt-BR"/>
              </w:rPr>
              <w:t xml:space="preserve">do </w:t>
            </w:r>
            <w:r w:rsidR="00D961D6" w:rsidRPr="004862E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>apenas</w:t>
            </w:r>
            <w:r w:rsidR="00D961D6" w:rsidRPr="004862E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pt-BR"/>
              </w:rPr>
              <w:t xml:space="preserve"> a dose de</w:t>
            </w:r>
            <w:r w:rsidRPr="004862E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pt-BR"/>
              </w:rPr>
              <w:t xml:space="preserve"> digoxina ingerida </w:t>
            </w:r>
            <w:r w:rsidR="00D961D6" w:rsidRPr="004862E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pt-BR"/>
              </w:rPr>
              <w:t xml:space="preserve">é </w:t>
            </w:r>
            <w:r w:rsidRPr="004862E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pt-BR"/>
              </w:rPr>
              <w:t>conhecida:</w:t>
            </w:r>
          </w:p>
          <w:p w14:paraId="5734E19A" w14:textId="77777777" w:rsidR="00E3415D" w:rsidRPr="004862E0" w:rsidRDefault="00E3415D" w:rsidP="00961D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pt-BR"/>
              </w:rPr>
              <w:t>Número de frascos de Ac Fab anti-digoxina</w:t>
            </w: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=</w:t>
            </w:r>
          </w:p>
          <w:p w14:paraId="22BFAB50" w14:textId="77777777" w:rsidR="00E3415D" w:rsidRPr="004862E0" w:rsidRDefault="00E3415D" w:rsidP="00961D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t-BR"/>
              </w:rPr>
              <w:t>Quantidade de digoxina ingerida (mg) X 0,8</w:t>
            </w:r>
          </w:p>
          <w:p w14:paraId="2E1BD1CA" w14:textId="77777777" w:rsidR="00156705" w:rsidRPr="004862E0" w:rsidRDefault="00156705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</w:p>
          <w:p w14:paraId="7C4BEEEC" w14:textId="77777777" w:rsidR="00E3415D" w:rsidRPr="004862E0" w:rsidRDefault="00E3415D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Ex.: ingestão </w:t>
            </w:r>
            <w:r w:rsidR="00D961D6"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2</w:t>
            </w: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0 cp de digoxina 0,25 mg</w:t>
            </w:r>
            <w:r w:rsidR="00156705"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 (= 5 mg</w:t>
            </w: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)</w:t>
            </w:r>
            <w:r w:rsidR="00156705"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= </w:t>
            </w:r>
            <w:r w:rsidR="0034099A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>5 X 0,8</w:t>
            </w:r>
            <w:r w:rsidR="0034099A"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 = </w:t>
            </w:r>
            <w:r w:rsidR="00D961D6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>4</w:t>
            </w:r>
            <w:r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 xml:space="preserve"> frascos de Ac anti-digoxina</w:t>
            </w:r>
            <w:r w:rsidR="00D961D6"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D961D6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 xml:space="preserve">IV, tanto </w:t>
            </w:r>
            <w:r w:rsidR="008903C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 xml:space="preserve">para </w:t>
            </w:r>
            <w:r w:rsidR="00D961D6"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>adultos como crianças</w:t>
            </w:r>
            <w:r w:rsidR="00D961D6"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. </w:t>
            </w: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0819CAF3" w14:textId="77777777" w:rsidR="004B4A00" w:rsidRPr="004862E0" w:rsidRDefault="004B4A00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</w:p>
          <w:p w14:paraId="608B7F74" w14:textId="77777777" w:rsidR="004B4A00" w:rsidRPr="004862E0" w:rsidRDefault="004B4A00" w:rsidP="00961DB5">
            <w:pPr>
              <w:pStyle w:val="PargrafodaLista"/>
              <w:numPr>
                <w:ilvl w:val="0"/>
                <w:numId w:val="60"/>
              </w:num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Outras situações:</w:t>
            </w:r>
          </w:p>
          <w:p w14:paraId="62A5614D" w14:textId="77777777" w:rsidR="004B4A00" w:rsidRPr="004862E0" w:rsidRDefault="004B4A00" w:rsidP="00961DB5">
            <w:pPr>
              <w:pStyle w:val="PargrafodaLista"/>
              <w:numPr>
                <w:ilvl w:val="0"/>
                <w:numId w:val="61"/>
              </w:num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pt-BR"/>
              </w:rPr>
              <w:t>Parada cardíaca devido intoxicação digitálica</w:t>
            </w: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: Aplicar imediatamente um </w:t>
            </w:r>
            <w:r w:rsidRPr="004862E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/>
              </w:rPr>
              <w:t>bolus</w:t>
            </w:r>
            <w:r w:rsidRPr="004862E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 de </w:t>
            </w: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Ac Fab anti-digoxina, nas doses abaixo</w:t>
            </w:r>
            <w:r w:rsidR="0020207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de a</w:t>
            </w:r>
            <w:r w:rsidR="0034099A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c</w:t>
            </w:r>
            <w:r w:rsidR="0020207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ordo com o peso do paciente. Repetir se necessário a</w:t>
            </w:r>
            <w:r w:rsidR="0034099A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pós</w:t>
            </w:r>
            <w:r w:rsidR="0020207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15 minutos.</w:t>
            </w:r>
          </w:p>
          <w:p w14:paraId="7D92B0D8" w14:textId="77777777" w:rsidR="00202076" w:rsidRPr="004862E0" w:rsidRDefault="00202076" w:rsidP="00961DB5">
            <w:pPr>
              <w:pStyle w:val="PargrafodaLista"/>
              <w:numPr>
                <w:ilvl w:val="1"/>
                <w:numId w:val="61"/>
              </w:num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&gt; 40 kg: 5 frascos IV (200 mg);</w:t>
            </w:r>
          </w:p>
          <w:p w14:paraId="7F97418E" w14:textId="77777777" w:rsidR="00202076" w:rsidRPr="004862E0" w:rsidRDefault="00202076" w:rsidP="00961DB5">
            <w:pPr>
              <w:pStyle w:val="PargrafodaLista"/>
              <w:numPr>
                <w:ilvl w:val="1"/>
                <w:numId w:val="61"/>
              </w:num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20-40 kg: 2 frascos IV (80 mg);</w:t>
            </w:r>
          </w:p>
          <w:p w14:paraId="68BAE4C9" w14:textId="77777777" w:rsidR="00202076" w:rsidRPr="004862E0" w:rsidRDefault="00202076" w:rsidP="00961DB5">
            <w:pPr>
              <w:pStyle w:val="PargrafodaLista"/>
              <w:numPr>
                <w:ilvl w:val="1"/>
                <w:numId w:val="61"/>
              </w:num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&lt; 20 kg: 1 frasco IV (40 mg).</w:t>
            </w:r>
          </w:p>
          <w:p w14:paraId="64E7EB21" w14:textId="77777777" w:rsidR="004B4B96" w:rsidRPr="004862E0" w:rsidRDefault="004B4B96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No caso de parada cardíaca decorrente de </w:t>
            </w:r>
            <w:r w:rsidR="0034099A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outros</w:t>
            </w: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glicosídeos cardíacos</w:t>
            </w:r>
            <w:r w:rsidR="0034099A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não digoxina/digitoxina</w:t>
            </w: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, as doses acima devem ser aplicadas em dobro.  </w:t>
            </w:r>
          </w:p>
          <w:p w14:paraId="30343159" w14:textId="77777777" w:rsidR="002B2A3D" w:rsidRPr="004862E0" w:rsidRDefault="002B2A3D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  <w:p w14:paraId="5D55ED6F" w14:textId="77777777" w:rsidR="002B2A3D" w:rsidRPr="004862E0" w:rsidRDefault="002B2A3D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Cuidados/reações adversas:</w:t>
            </w:r>
          </w:p>
          <w:p w14:paraId="4482ADD1" w14:textId="77777777" w:rsidR="002B2A3D" w:rsidRPr="004862E0" w:rsidRDefault="002B2A3D" w:rsidP="00961DB5">
            <w:pPr>
              <w:pStyle w:val="PargrafodaLista"/>
              <w:numPr>
                <w:ilvl w:val="0"/>
                <w:numId w:val="61"/>
              </w:num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Maior risco de anafilaxia em pacientes com histórico de alergia a produtos ovinos ou à papaína,</w:t>
            </w:r>
          </w:p>
          <w:p w14:paraId="6452F361" w14:textId="77777777" w:rsidR="002B2A3D" w:rsidRPr="004862E0" w:rsidRDefault="002B2A3D" w:rsidP="00961DB5">
            <w:pPr>
              <w:pStyle w:val="PargrafodaLista"/>
              <w:numPr>
                <w:ilvl w:val="0"/>
                <w:numId w:val="61"/>
              </w:num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Hipocalemia,</w:t>
            </w:r>
          </w:p>
          <w:p w14:paraId="5D4FC2E1" w14:textId="77777777" w:rsidR="002B2A3D" w:rsidRPr="004862E0" w:rsidRDefault="002B2A3D" w:rsidP="00961DB5">
            <w:pPr>
              <w:pStyle w:val="PargrafodaLista"/>
              <w:numPr>
                <w:ilvl w:val="0"/>
                <w:numId w:val="61"/>
              </w:num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Piora da função cardíaca,</w:t>
            </w:r>
          </w:p>
          <w:p w14:paraId="57F40821" w14:textId="77777777" w:rsidR="00DD15FF" w:rsidRPr="00F8247E" w:rsidRDefault="002B2A3D" w:rsidP="00961DB5">
            <w:pPr>
              <w:pStyle w:val="PargrafodaLista"/>
              <w:numPr>
                <w:ilvl w:val="0"/>
                <w:numId w:val="61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Monitorar sinais de recorrência da intoxicação digitálica em pacientes com insuficiência renal.</w:t>
            </w:r>
            <w:r w:rsidR="008746F9" w:rsidRPr="00F8247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9" w:type="pct"/>
          </w:tcPr>
          <w:p w14:paraId="47E8C463" w14:textId="77777777" w:rsidR="00DD15FF" w:rsidRDefault="00BA3AF4" w:rsidP="00961DB5">
            <w:p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 w:rsidRPr="00BA3AF4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(DigiFab</w:t>
            </w:r>
            <w:r w:rsidRPr="00BA3AF4">
              <w:rPr>
                <w:rFonts w:ascii="Calibri" w:hAnsi="Calibri"/>
                <w:bCs/>
                <w:sz w:val="22"/>
                <w:szCs w:val="22"/>
                <w:vertAlign w:val="superscript"/>
                <w:lang w:val="pt-BR"/>
              </w:rPr>
              <w:t>R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): f</w:t>
            </w:r>
            <w:r w:rsidRPr="00BA3AF4">
              <w:rPr>
                <w:rFonts w:ascii="Calibri" w:hAnsi="Calibri"/>
                <w:bCs/>
                <w:sz w:val="22"/>
                <w:szCs w:val="22"/>
                <w:lang w:val="pt-BR"/>
              </w:rPr>
              <w:t>rasco contendo 40</w:t>
            </w:r>
            <w:r w:rsidR="00E626B5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</w:t>
            </w:r>
            <w:r w:rsidRPr="00BA3AF4">
              <w:rPr>
                <w:rFonts w:ascii="Calibri" w:hAnsi="Calibri"/>
                <w:bCs/>
                <w:sz w:val="22"/>
                <w:szCs w:val="22"/>
                <w:lang w:val="pt-BR"/>
              </w:rPr>
              <w:t>mg de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liofilizado de</w:t>
            </w:r>
            <w:r w:rsidRPr="00BA3AF4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fragmento Fab capaz de neutralizar 0,625 mg de digoxina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, para ser reconstituído em </w:t>
            </w:r>
            <w:r w:rsidRPr="00BA3AF4">
              <w:rPr>
                <w:rFonts w:ascii="Calibri" w:hAnsi="Calibri"/>
                <w:bCs/>
                <w:sz w:val="22"/>
                <w:szCs w:val="22"/>
                <w:lang w:val="pt-BR"/>
              </w:rPr>
              <w:t>4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</w:t>
            </w:r>
            <w:r w:rsidRPr="00BA3AF4">
              <w:rPr>
                <w:rFonts w:ascii="Calibri" w:hAnsi="Calibri"/>
                <w:bCs/>
                <w:sz w:val="22"/>
                <w:szCs w:val="22"/>
                <w:lang w:val="pt-BR"/>
              </w:rPr>
              <w:t>m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l</w:t>
            </w:r>
            <w:r w:rsidRPr="00BA3AF4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de AD (10</w:t>
            </w:r>
            <w:r w:rsidR="00FF285E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</w:t>
            </w:r>
            <w:r w:rsidRPr="00BA3AF4">
              <w:rPr>
                <w:rFonts w:ascii="Calibri" w:hAnsi="Calibri"/>
                <w:bCs/>
                <w:sz w:val="22"/>
                <w:szCs w:val="22"/>
                <w:lang w:val="pt-BR"/>
              </w:rPr>
              <w:t>mg/m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l</w:t>
            </w:r>
            <w:r w:rsidRPr="00BA3AF4">
              <w:rPr>
                <w:rFonts w:ascii="Calibri" w:hAnsi="Calibri"/>
                <w:bCs/>
                <w:sz w:val="22"/>
                <w:szCs w:val="22"/>
                <w:lang w:val="pt-BR"/>
              </w:rPr>
              <w:t>)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.</w:t>
            </w:r>
          </w:p>
          <w:p w14:paraId="1A42AC2B" w14:textId="77777777" w:rsidR="008746F9" w:rsidRDefault="008746F9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8746F9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8746F9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 w:rsidR="009B0A32">
              <w:rPr>
                <w:rFonts w:ascii="Calibri" w:hAnsi="Calibri"/>
                <w:b/>
                <w:sz w:val="22"/>
                <w:szCs w:val="22"/>
                <w:lang w:val="pt-BR"/>
              </w:rPr>
              <w:t>10</w:t>
            </w:r>
            <w:r w:rsidRPr="008746F9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frascos</w:t>
            </w:r>
            <w:r w:rsidR="0034099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(400 mg)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0AD39B8E" w14:textId="77777777" w:rsidR="00F23449" w:rsidRDefault="00F23449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6239E298" w14:textId="75C9C3A6" w:rsidR="00F23449" w:rsidRPr="007937DE" w:rsidRDefault="009B4650" w:rsidP="00C834E4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  <w:r w:rsidRPr="009B4650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Apesar da alta eficácia, trata-se de p</w:t>
            </w:r>
            <w:r w:rsidR="00F23449" w:rsidRPr="009B4650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roduto importado</w:t>
            </w:r>
            <w:r w:rsidR="00AC62E0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, de difícil aquisição e </w:t>
            </w:r>
            <w:r w:rsidR="00C834E4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de</w:t>
            </w:r>
            <w:r w:rsidRPr="009B4650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</w:t>
            </w:r>
            <w:r w:rsidR="00F23449" w:rsidRPr="009B4650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custo elevado. </w:t>
            </w:r>
          </w:p>
        </w:tc>
      </w:tr>
      <w:tr w:rsidR="00F51748" w:rsidRPr="00512BD6" w14:paraId="698BE0D1" w14:textId="77777777" w:rsidTr="00961DB5">
        <w:tc>
          <w:tcPr>
            <w:tcW w:w="766" w:type="pct"/>
            <w:shd w:val="clear" w:color="auto" w:fill="auto"/>
          </w:tcPr>
          <w:p w14:paraId="3A1081AC" w14:textId="6CEEF0BF" w:rsidR="00F51748" w:rsidRPr="006B34C0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9" w:name="_Toc125971523"/>
            <w:bookmarkStart w:id="20" w:name="_Toc126746420"/>
            <w:bookmarkStart w:id="21" w:name="_Toc126746569"/>
            <w:bookmarkStart w:id="22" w:name="_Toc126750581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ATROPINA</w:t>
            </w:r>
            <w:bookmarkEnd w:id="19"/>
            <w:bookmarkEnd w:id="20"/>
            <w:bookmarkEnd w:id="21"/>
            <w:bookmarkEnd w:id="22"/>
            <w:r w:rsidR="00F51748" w:rsidRPr="006C070E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F51748" w:rsidRPr="006B34C0">
              <w:rPr>
                <w:rFonts w:ascii="Calibri" w:hAnsi="Calibri" w:cs="Calibri"/>
                <w:b/>
                <w:sz w:val="22"/>
                <w:szCs w:val="22"/>
              </w:rPr>
              <w:t xml:space="preserve"> inj.</w:t>
            </w:r>
          </w:p>
        </w:tc>
        <w:tc>
          <w:tcPr>
            <w:tcW w:w="1039" w:type="pct"/>
            <w:shd w:val="clear" w:color="auto" w:fill="auto"/>
          </w:tcPr>
          <w:p w14:paraId="264B87F7" w14:textId="77777777" w:rsidR="00F51748" w:rsidRPr="007937DE" w:rsidRDefault="00F51748" w:rsidP="00961DB5">
            <w:pPr>
              <w:spacing w:line="276" w:lineRule="auto"/>
              <w:jc w:val="left"/>
              <w:rPr>
                <w:rFonts w:ascii="Calibri" w:hAnsi="Calibri"/>
                <w:i/>
                <w:i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Inibidores da acetilcolinesterase</w:t>
            </w:r>
            <w:r w:rsidRPr="007937DE">
              <w:rPr>
                <w:rFonts w:ascii="Calibri" w:hAnsi="Calibri"/>
                <w:i/>
                <w:iCs/>
                <w:color w:val="C00000"/>
                <w:sz w:val="22"/>
                <w:szCs w:val="22"/>
                <w:lang w:val="pt-BR"/>
              </w:rPr>
              <w:t xml:space="preserve"> 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(carbamatos e organofosforados)</w:t>
            </w:r>
            <w:r w:rsidRPr="007937DE">
              <w:rPr>
                <w:rFonts w:ascii="Calibri" w:hAnsi="Calibri"/>
                <w:i/>
                <w:iCs/>
                <w:color w:val="C00000"/>
                <w:sz w:val="22"/>
                <w:szCs w:val="22"/>
                <w:lang w:val="pt-BR"/>
              </w:rPr>
              <w:t xml:space="preserve"> </w:t>
            </w:r>
          </w:p>
          <w:p w14:paraId="3AABD876" w14:textId="77777777" w:rsidR="00180369" w:rsidRPr="007937DE" w:rsidRDefault="00180369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6D9BF683" w14:textId="77777777" w:rsidR="00180369" w:rsidRPr="007937DE" w:rsidRDefault="00180369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</w:tcPr>
          <w:p w14:paraId="134D0304" w14:textId="77777777" w:rsidR="00483E69" w:rsidRDefault="00483E69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483E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Atropina antagoniza os efeitos muscarínicos da acetilcolina (Ach; síndrome colinérgica), como aumento das secreções (sialorreia e broncorreia), hipotensão, broncoespasmo e bradicardia. </w:t>
            </w:r>
          </w:p>
          <w:p w14:paraId="0C797B03" w14:textId="77777777" w:rsidR="00483E69" w:rsidRPr="00035537" w:rsidRDefault="00483E69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4A35B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Atropina não antagoniza os efeitos nicotínicos da Ach</w:t>
            </w:r>
            <w:r w:rsidRPr="00483E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, como fasciculações, mioclonias e contraturas musculares.</w:t>
            </w:r>
          </w:p>
          <w:p w14:paraId="2B70CB4D" w14:textId="77777777" w:rsidR="00483E69" w:rsidRPr="00035537" w:rsidRDefault="00483E69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21341F11" w14:textId="77777777" w:rsidR="00035537" w:rsidRPr="00035537" w:rsidRDefault="00035537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035537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Doses iniciais recomendadas:</w:t>
            </w:r>
          </w:p>
          <w:p w14:paraId="67989DB3" w14:textId="77777777" w:rsidR="001E016C" w:rsidRPr="007937DE" w:rsidRDefault="001E016C" w:rsidP="00961DB5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0,03-0,05 mg/kg IV.</w:t>
            </w:r>
          </w:p>
          <w:p w14:paraId="64E6C3A7" w14:textId="77777777" w:rsidR="00627089" w:rsidRPr="007937DE" w:rsidRDefault="00627089" w:rsidP="00961DB5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1 a 4 mg IV (4 a 16 ampolas de atropina </w:t>
            </w:r>
            <w:r w:rsidR="003E0361" w:rsidRPr="007937DE">
              <w:rPr>
                <w:rFonts w:ascii="Calibri" w:hAnsi="Calibri"/>
                <w:sz w:val="22"/>
                <w:szCs w:val="22"/>
                <w:lang w:val="pt-BR"/>
              </w:rPr>
              <w:t>d</w:t>
            </w:r>
            <w:r w:rsidR="00CE515F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e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0,25 mg). </w:t>
            </w:r>
          </w:p>
          <w:p w14:paraId="03ECBF87" w14:textId="77777777" w:rsidR="001E016C" w:rsidRPr="007937DE" w:rsidRDefault="001E016C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</w:p>
          <w:p w14:paraId="2C7C5A10" w14:textId="77777777" w:rsidR="00627089" w:rsidRPr="003C6960" w:rsidRDefault="00627089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3C6960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Doses adicionais de atropina devem ser </w:t>
            </w:r>
            <w:r w:rsidR="00567252" w:rsidRPr="003C6960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consideradas de acordo com a evolução </w:t>
            </w:r>
            <w:r w:rsidR="00191634" w:rsidRPr="003C6960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como</w:t>
            </w:r>
            <w:r w:rsidR="00567252" w:rsidRPr="003C6960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piora/recorrência da síndrome colinérgica</w:t>
            </w:r>
            <w:r w:rsidRPr="003C6960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. </w:t>
            </w:r>
          </w:p>
          <w:p w14:paraId="3997DE3F" w14:textId="77777777" w:rsidR="00035537" w:rsidRDefault="00035537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1235E6D7" w14:textId="77777777" w:rsidR="00627089" w:rsidRPr="005F33E5" w:rsidRDefault="005F33E5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5F33E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CONSIDERAR A INFUSÃO CONTÍNUA DE ATROPINA NOS CASOS GRAVES       </w:t>
            </w:r>
          </w:p>
          <w:p w14:paraId="38E57250" w14:textId="77777777" w:rsidR="008B7176" w:rsidRPr="007937DE" w:rsidRDefault="008B7176" w:rsidP="00961DB5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Infusão contínua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diluir </w:t>
            </w:r>
            <w:r w:rsidR="0062158F" w:rsidRPr="007937DE">
              <w:rPr>
                <w:rFonts w:ascii="Calibri" w:hAnsi="Calibri"/>
                <w:sz w:val="22"/>
                <w:szCs w:val="22"/>
                <w:lang w:val="pt-BR"/>
              </w:rPr>
              <w:t>40 ampolas de 0,25mg</w:t>
            </w:r>
            <w:r w:rsidR="00627089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5F33E5">
              <w:rPr>
                <w:rFonts w:ascii="Calibri" w:hAnsi="Calibri"/>
                <w:sz w:val="22"/>
                <w:szCs w:val="22"/>
                <w:lang w:val="pt-BR"/>
              </w:rPr>
              <w:t xml:space="preserve">de atropina </w:t>
            </w:r>
            <w:r w:rsidR="00627089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em </w:t>
            </w:r>
            <w:r w:rsidR="0062158F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210ml </w:t>
            </w:r>
            <w:r w:rsidR="00627089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de </w:t>
            </w:r>
            <w:r w:rsidR="0062158F" w:rsidRPr="007937DE">
              <w:rPr>
                <w:rFonts w:ascii="Calibri" w:hAnsi="Calibri"/>
                <w:sz w:val="22"/>
                <w:szCs w:val="22"/>
                <w:lang w:val="pt-BR"/>
              </w:rPr>
              <w:t>SF</w:t>
            </w:r>
            <w:r w:rsidR="0066090E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627089" w:rsidRPr="007937DE">
              <w:rPr>
                <w:rFonts w:ascii="Calibri" w:hAnsi="Calibri"/>
                <w:sz w:val="22"/>
                <w:szCs w:val="22"/>
                <w:lang w:val="pt-BR"/>
              </w:rPr>
              <w:t>0,9%</w:t>
            </w:r>
            <w:r w:rsidR="0062158F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(</w:t>
            </w:r>
            <w:r w:rsidR="00627089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1 ml= </w:t>
            </w:r>
            <w:r w:rsidR="0062158F" w:rsidRPr="007937DE">
              <w:rPr>
                <w:rFonts w:ascii="Calibri" w:hAnsi="Calibri"/>
                <w:sz w:val="22"/>
                <w:szCs w:val="22"/>
                <w:lang w:val="pt-BR"/>
              </w:rPr>
              <w:t>0</w:t>
            </w:r>
            <w:r w:rsidR="00627089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,04 </w:t>
            </w:r>
            <w:r w:rsidR="0062158F" w:rsidRPr="007937DE">
              <w:rPr>
                <w:rFonts w:ascii="Calibri" w:hAnsi="Calibri"/>
                <w:sz w:val="22"/>
                <w:szCs w:val="22"/>
                <w:lang w:val="pt-BR"/>
              </w:rPr>
              <w:t>mg)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</w:p>
          <w:p w14:paraId="555F4758" w14:textId="77777777" w:rsidR="0062158F" w:rsidRPr="007937DE" w:rsidRDefault="008B7176" w:rsidP="00961DB5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 w:rsidR="0062158F" w:rsidRPr="007937DE">
              <w:rPr>
                <w:rFonts w:ascii="Calibri" w:hAnsi="Calibri"/>
                <w:sz w:val="22"/>
                <w:szCs w:val="22"/>
                <w:lang w:val="pt-BR"/>
              </w:rPr>
              <w:t>iniciar com 1mg/h</w:t>
            </w:r>
            <w:r w:rsidR="00627089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(25 ml/h</w:t>
            </w:r>
            <w:r w:rsidR="0062158F" w:rsidRPr="007937DE">
              <w:rPr>
                <w:rFonts w:ascii="Calibri" w:hAnsi="Calibri"/>
                <w:sz w:val="22"/>
                <w:szCs w:val="22"/>
                <w:lang w:val="pt-BR"/>
              </w:rPr>
              <w:t>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4340E478" w14:textId="77777777" w:rsidR="008B7176" w:rsidRPr="007937DE" w:rsidRDefault="008B7176" w:rsidP="00961DB5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iniciar com 0,02 mg/kg/h</w:t>
            </w:r>
            <w:r w:rsidR="00627089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(0,5 ml/kg/h).</w:t>
            </w:r>
          </w:p>
        </w:tc>
        <w:tc>
          <w:tcPr>
            <w:tcW w:w="859" w:type="pct"/>
          </w:tcPr>
          <w:p w14:paraId="2B899FD8" w14:textId="77777777" w:rsidR="00F51748" w:rsidRPr="007937DE" w:rsidRDefault="00F5174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</w:t>
            </w:r>
            <w:r w:rsidRPr="007937DE">
              <w:rPr>
                <w:rFonts w:ascii="Calibri" w:hAnsi="Calibri"/>
                <w:sz w:val="22"/>
                <w:szCs w:val="22"/>
                <w:u w:val="single"/>
                <w:lang w:val="pt-BR"/>
              </w:rPr>
              <w:t>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ampolas de 1 ml com 0,25 mg.</w:t>
            </w:r>
          </w:p>
          <w:p w14:paraId="59C5E98C" w14:textId="77777777" w:rsidR="00764D5C" w:rsidRPr="007937DE" w:rsidRDefault="00764D5C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189D9606" w14:textId="77777777" w:rsidR="00F51748" w:rsidRPr="00C11CD6" w:rsidRDefault="00F51748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C11CD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>: 300 ampolas</w:t>
            </w:r>
            <w:r w:rsidR="00836461"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(75 mg)</w:t>
            </w:r>
          </w:p>
          <w:p w14:paraId="709128D0" w14:textId="77777777" w:rsidR="007904DB" w:rsidRPr="00C11CD6" w:rsidRDefault="007904D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0BD79C17" w14:textId="7471D616" w:rsidR="007904DB" w:rsidRPr="007904DB" w:rsidRDefault="007904D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F51748" w:rsidRPr="00862C21" w14:paraId="271584CE" w14:textId="77777777" w:rsidTr="00961DB5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63C9030" w14:textId="50C0806C" w:rsidR="00F51748" w:rsidRPr="006B34C0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23" w:name="_Toc125971524"/>
            <w:bookmarkStart w:id="24" w:name="_Toc126746421"/>
            <w:bookmarkStart w:id="25" w:name="_Toc126746570"/>
            <w:bookmarkStart w:id="26" w:name="_Toc126750582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AZUL DE METILENO</w:t>
            </w:r>
            <w:bookmarkEnd w:id="23"/>
            <w:bookmarkEnd w:id="24"/>
            <w:bookmarkEnd w:id="25"/>
            <w:bookmarkEnd w:id="26"/>
            <w:r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F51748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</w:t>
            </w:r>
            <w:r w:rsidR="006F7E6D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AM, </w:t>
            </w:r>
            <w:r w:rsidR="00F51748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cloreto de metiltionínio), inj.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14:paraId="4C74483F" w14:textId="77777777" w:rsidR="00F51748" w:rsidRPr="0034099A" w:rsidRDefault="00F51748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</w:pPr>
            <w:r w:rsidRPr="0034099A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Agentes metemoglobinizantes como </w:t>
            </w:r>
            <w:r w:rsidR="005977ED" w:rsidRPr="0034099A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dapsona</w:t>
            </w:r>
            <w:r w:rsidRPr="0034099A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, nitritos, nitratos, anilina, anestésicos locais (benzocaína), metoclopramida e fenazopiridina. </w:t>
            </w:r>
          </w:p>
          <w:p w14:paraId="24046551" w14:textId="77777777" w:rsidR="00EA3E1A" w:rsidRPr="006C1DF1" w:rsidRDefault="00EA3E1A" w:rsidP="00961DB5">
            <w:pPr>
              <w:spacing w:line="276" w:lineRule="auto"/>
              <w:jc w:val="left"/>
              <w:rPr>
                <w:rFonts w:ascii="Calibri" w:hAnsi="Calibri"/>
                <w:i/>
                <w:iCs/>
                <w:color w:val="C00000"/>
                <w:sz w:val="22"/>
                <w:szCs w:val="22"/>
                <w:lang w:val="pt-BR"/>
              </w:rPr>
            </w:pPr>
          </w:p>
          <w:p w14:paraId="57AF9264" w14:textId="7A8D959A" w:rsidR="00DE4A98" w:rsidRDefault="007A3E63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Aparente benefício n</w:t>
            </w:r>
            <w:r w:rsidR="004701AA"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a reversão da </w:t>
            </w:r>
            <w:r w:rsidR="00392946"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síndrome </w:t>
            </w:r>
            <w:r w:rsidR="004701AA"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vasopl</w:t>
            </w:r>
            <w:r w:rsidR="00392946"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égica</w:t>
            </w:r>
            <w:r w:rsidR="004701AA"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 </w:t>
            </w:r>
            <w:r w:rsidR="006F7E6D"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(choque distributivo)</w:t>
            </w:r>
            <w:r w:rsidR="006F7E6D" w:rsidRPr="006C1DF1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</w:t>
            </w:r>
            <w:r w:rsidR="004701AA" w:rsidRPr="00B10A5C">
              <w:rPr>
                <w:rFonts w:ascii="Calibri" w:hAnsi="Calibri"/>
                <w:sz w:val="22"/>
                <w:szCs w:val="22"/>
                <w:lang w:val="pt-BR"/>
              </w:rPr>
              <w:t xml:space="preserve">refratária ao uso de vasopressores na </w:t>
            </w:r>
            <w:r w:rsidRPr="00B10A5C">
              <w:rPr>
                <w:rFonts w:ascii="Calibri" w:hAnsi="Calibri"/>
                <w:sz w:val="22"/>
                <w:szCs w:val="22"/>
                <w:lang w:val="pt-BR"/>
              </w:rPr>
              <w:t>sepse, anafilaxia</w:t>
            </w:r>
            <w:r w:rsidR="004701AA" w:rsidRPr="00B10A5C">
              <w:rPr>
                <w:rFonts w:ascii="Calibri" w:hAnsi="Calibri"/>
                <w:sz w:val="22"/>
                <w:szCs w:val="22"/>
                <w:lang w:val="pt-BR"/>
              </w:rPr>
              <w:t>, pós-operatório de cirurgia cardíaca</w:t>
            </w:r>
            <w:r w:rsidRPr="00B10A5C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392946">
              <w:rPr>
                <w:rFonts w:ascii="Calibri" w:hAnsi="Calibri"/>
                <w:sz w:val="22"/>
                <w:szCs w:val="22"/>
                <w:lang w:val="pt-BR"/>
              </w:rPr>
              <w:t xml:space="preserve">com uso de </w:t>
            </w:r>
            <w:r w:rsidR="00392946" w:rsidRPr="00392946">
              <w:rPr>
                <w:rFonts w:ascii="Calibri" w:hAnsi="Calibri"/>
                <w:sz w:val="22"/>
                <w:szCs w:val="22"/>
                <w:lang w:val="pt-BR"/>
              </w:rPr>
              <w:t>circuito de circulação extracorpórea</w:t>
            </w:r>
            <w:r w:rsidR="00392946">
              <w:rPr>
                <w:rFonts w:ascii="Calibri" w:hAnsi="Calibri"/>
                <w:sz w:val="22"/>
                <w:szCs w:val="22"/>
                <w:lang w:val="pt-BR"/>
              </w:rPr>
              <w:t xml:space="preserve"> (CEC), </w:t>
            </w:r>
            <w:r w:rsidRPr="00B10A5C">
              <w:rPr>
                <w:rFonts w:ascii="Calibri" w:hAnsi="Calibri"/>
                <w:sz w:val="22"/>
                <w:szCs w:val="22"/>
                <w:lang w:val="pt-BR"/>
              </w:rPr>
              <w:t>ou induzido por algumas drogas</w:t>
            </w:r>
            <w:r w:rsidR="006F7E6D" w:rsidRPr="00B10A5C">
              <w:rPr>
                <w:rFonts w:ascii="Calibri" w:hAnsi="Calibri"/>
                <w:sz w:val="22"/>
                <w:szCs w:val="22"/>
                <w:lang w:val="pt-BR"/>
              </w:rPr>
              <w:t xml:space="preserve"> como</w:t>
            </w:r>
            <w:r w:rsidR="001F2008">
              <w:rPr>
                <w:rFonts w:ascii="Calibri" w:hAnsi="Calibri"/>
                <w:sz w:val="22"/>
                <w:szCs w:val="22"/>
                <w:lang w:val="pt-BR"/>
              </w:rPr>
              <w:t xml:space="preserve"> a</w:t>
            </w:r>
            <w:r w:rsidR="006945E3">
              <w:rPr>
                <w:rFonts w:ascii="Calibri" w:hAnsi="Calibri"/>
                <w:sz w:val="22"/>
                <w:szCs w:val="22"/>
                <w:lang w:val="pt-BR"/>
              </w:rPr>
              <w:t>n</w:t>
            </w:r>
            <w:r w:rsidR="001F2008">
              <w:rPr>
                <w:rFonts w:ascii="Calibri" w:hAnsi="Calibri"/>
                <w:sz w:val="22"/>
                <w:szCs w:val="22"/>
                <w:lang w:val="pt-BR"/>
              </w:rPr>
              <w:t>lodipin</w:t>
            </w:r>
            <w:r w:rsidR="006945E3">
              <w:rPr>
                <w:rFonts w:ascii="Calibri" w:hAnsi="Calibri"/>
                <w:sz w:val="22"/>
                <w:szCs w:val="22"/>
                <w:lang w:val="pt-BR"/>
              </w:rPr>
              <w:t>o</w:t>
            </w:r>
            <w:r w:rsidR="001F2008">
              <w:rPr>
                <w:rFonts w:ascii="Calibri" w:hAnsi="Calibri"/>
                <w:sz w:val="22"/>
                <w:szCs w:val="22"/>
                <w:lang w:val="pt-BR"/>
              </w:rPr>
              <w:t xml:space="preserve"> (</w:t>
            </w:r>
            <w:r w:rsidR="006F7E6D" w:rsidRPr="00B10A5C">
              <w:rPr>
                <w:rFonts w:ascii="Calibri" w:hAnsi="Calibri"/>
                <w:sz w:val="22"/>
                <w:szCs w:val="22"/>
                <w:lang w:val="pt-BR"/>
              </w:rPr>
              <w:t>bloqueador do cana</w:t>
            </w:r>
            <w:r w:rsidR="00304971">
              <w:rPr>
                <w:rFonts w:ascii="Calibri" w:hAnsi="Calibri"/>
                <w:sz w:val="22"/>
                <w:szCs w:val="22"/>
                <w:lang w:val="pt-BR"/>
              </w:rPr>
              <w:t xml:space="preserve">l </w:t>
            </w:r>
            <w:r w:rsidR="006F7E6D" w:rsidRPr="00B10A5C">
              <w:rPr>
                <w:rFonts w:ascii="Calibri" w:hAnsi="Calibri"/>
                <w:sz w:val="22"/>
                <w:szCs w:val="22"/>
                <w:lang w:val="pt-BR"/>
              </w:rPr>
              <w:t>de cálcio</w:t>
            </w:r>
            <w:r w:rsidR="001F2008">
              <w:rPr>
                <w:rFonts w:ascii="Calibri" w:hAnsi="Calibri"/>
                <w:sz w:val="22"/>
                <w:szCs w:val="22"/>
                <w:lang w:val="pt-BR"/>
              </w:rPr>
              <w:t>)</w:t>
            </w:r>
            <w:r w:rsidR="00DF13FA">
              <w:rPr>
                <w:rFonts w:ascii="Calibri" w:hAnsi="Calibri"/>
                <w:sz w:val="22"/>
                <w:szCs w:val="22"/>
                <w:lang w:val="pt-BR"/>
              </w:rPr>
              <w:t xml:space="preserve"> e quetiapina</w:t>
            </w:r>
            <w:r w:rsidR="001F2008">
              <w:rPr>
                <w:rFonts w:ascii="Calibri" w:hAnsi="Calibri"/>
                <w:sz w:val="22"/>
                <w:szCs w:val="22"/>
                <w:lang w:val="pt-BR"/>
              </w:rPr>
              <w:t xml:space="preserve"> (antipsicótico atípico)</w:t>
            </w:r>
            <w:r w:rsidRPr="00B10A5C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  <w:r w:rsidR="006F7E6D" w:rsidRPr="00B10A5C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058FE87D" w14:textId="77777777" w:rsidR="007A3E63" w:rsidRDefault="007A3E63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7CD6B4EF" w14:textId="77777777" w:rsidR="00EA3E1A" w:rsidRPr="007937DE" w:rsidRDefault="00EA3E1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  <w:tcBorders>
              <w:bottom w:val="single" w:sz="4" w:space="0" w:color="auto"/>
            </w:tcBorders>
          </w:tcPr>
          <w:p w14:paraId="53E83780" w14:textId="77777777" w:rsidR="00E920CD" w:rsidRPr="004E6328" w:rsidRDefault="00E920CD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4E6328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Metemoglobinemia</w:t>
            </w:r>
          </w:p>
          <w:p w14:paraId="0EA5FAF3" w14:textId="77777777" w:rsidR="00E920CD" w:rsidRPr="00E920CD" w:rsidRDefault="004E6328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 AM</w:t>
            </w:r>
            <w:r w:rsidR="00E920CD" w:rsidRPr="00E920C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0039BC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é um agente oxidante que na presença </w:t>
            </w:r>
            <w:r w:rsidR="00E920CD" w:rsidRPr="00E920C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de NADPH e NADPH </w:t>
            </w:r>
            <w:r w:rsidRPr="00E920C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met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emoglobina</w:t>
            </w:r>
            <w:r w:rsidR="00E920CD" w:rsidRPr="00E920C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-redutase</w:t>
            </w:r>
            <w:r w:rsidR="000039BC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é reduzido a azul de leucometileno</w:t>
            </w:r>
            <w:r w:rsidR="003C696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. O azul de leucometileno é efetivo na redução da </w:t>
            </w:r>
            <w:r w:rsidRPr="00E920C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met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emoglobina</w:t>
            </w:r>
            <w:r w:rsidRPr="00E920C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E920CD" w:rsidRPr="00E920C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(HbFe</w:t>
            </w:r>
            <w:r w:rsidR="00E920CD" w:rsidRPr="00E920CD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>+++</w:t>
            </w:r>
            <w:r w:rsidR="00E920CD" w:rsidRPr="00E920C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) a </w:t>
            </w:r>
            <w:r w:rsidR="000039BC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hemoglobina (</w:t>
            </w:r>
            <w:r w:rsidR="00E920CD" w:rsidRPr="00E920C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HbFe</w:t>
            </w:r>
            <w:r w:rsidR="00E920CD" w:rsidRPr="00E920CD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>++</w:t>
            </w:r>
            <w:r w:rsidR="000039BC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).</w:t>
            </w:r>
            <w:r w:rsidR="003C696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Em condições normais, a redução da metemoglobina pela via NADPH é limitada. Todavia, na presença de AM, o papel da via NADPH aumenta sobremaneira, sendo a via mais eficiente para redução da metemoglobina </w:t>
            </w:r>
          </w:p>
          <w:p w14:paraId="109900C4" w14:textId="77777777" w:rsidR="00BE40C0" w:rsidRPr="00DE346F" w:rsidRDefault="00BE40C0" w:rsidP="00961DB5">
            <w:pPr>
              <w:spacing w:line="276" w:lineRule="auto"/>
              <w:jc w:val="left"/>
              <w:rPr>
                <w:rFonts w:ascii="Calibri" w:hAnsi="Calibri"/>
                <w:color w:val="C00000"/>
                <w:sz w:val="22"/>
                <w:szCs w:val="22"/>
                <w:lang w:val="pt-BR"/>
              </w:rPr>
            </w:pPr>
            <w:r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A administração </w:t>
            </w:r>
            <w:r w:rsidR="00F63A86"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d</w:t>
            </w:r>
            <w:r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o</w:t>
            </w:r>
            <w:r w:rsidR="00F63A86"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</w:t>
            </w:r>
            <w:r w:rsidR="0042073D"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AM </w:t>
            </w:r>
            <w:r w:rsidR="00455C77"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IV </w:t>
            </w:r>
            <w:r w:rsidR="00F63A86"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deve ser considerad</w:t>
            </w:r>
            <w:r w:rsidR="00483E69"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a</w:t>
            </w:r>
            <w:r w:rsidR="00F63A86"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nos pacientes </w:t>
            </w:r>
            <w:r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com</w:t>
            </w:r>
            <w:r w:rsid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metemoglobinemia</w:t>
            </w:r>
            <w:r w:rsidRPr="00DE346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:</w:t>
            </w:r>
            <w:r w:rsidR="00F63A86" w:rsidRPr="00DE346F">
              <w:rPr>
                <w:rFonts w:ascii="Calibri" w:hAnsi="Calibri"/>
                <w:color w:val="C00000"/>
                <w:sz w:val="22"/>
                <w:szCs w:val="22"/>
                <w:lang w:val="pt-BR"/>
              </w:rPr>
              <w:t xml:space="preserve"> </w:t>
            </w:r>
          </w:p>
          <w:p w14:paraId="58BF136D" w14:textId="77777777" w:rsidR="005E5945" w:rsidRPr="007937DE" w:rsidRDefault="00F63A86" w:rsidP="00961DB5">
            <w:pPr>
              <w:numPr>
                <w:ilvl w:val="0"/>
                <w:numId w:val="26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≥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30-40%</w:t>
            </w:r>
            <w:r w:rsidR="00455C77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da hemoglobina.</w:t>
            </w:r>
          </w:p>
          <w:p w14:paraId="35592D97" w14:textId="77777777" w:rsidR="00455C77" w:rsidRPr="007937DE" w:rsidRDefault="00BE40C0" w:rsidP="00961DB5">
            <w:pPr>
              <w:numPr>
                <w:ilvl w:val="0"/>
                <w:numId w:val="26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&lt; 30%: </w:t>
            </w:r>
            <w:r w:rsidR="00C72805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se o paciente apresenta 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</w:t>
            </w:r>
            <w:r w:rsidR="00455C77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omorbidades que afetam a oferta de oxigênio aos tecidos, como anemia, insuficiência cardíaca, pneumonias e DPOC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  <w:r w:rsidR="00455C77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3936D066" w14:textId="24B12E2E" w:rsidR="00F51748" w:rsidRPr="007C3F49" w:rsidRDefault="00BE40C0" w:rsidP="00961DB5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C3F4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Caso indicado</w:t>
            </w:r>
            <w:r w:rsidRPr="007C3F49">
              <w:rPr>
                <w:rFonts w:ascii="Calibri" w:hAnsi="Calibri"/>
                <w:sz w:val="22"/>
                <w:szCs w:val="22"/>
                <w:lang w:val="pt-BR"/>
              </w:rPr>
              <w:t xml:space="preserve">, </w:t>
            </w:r>
            <w:r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a</w:t>
            </w:r>
            <w:r w:rsidR="00482B93"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dministrar </w:t>
            </w:r>
            <w:r w:rsidR="00F51748"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0,</w:t>
            </w:r>
            <w:r w:rsidR="002B2C98"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05</w:t>
            </w:r>
            <w:r w:rsidR="00F51748"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-0,</w:t>
            </w:r>
            <w:r w:rsidR="002B2C98"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1</w:t>
            </w:r>
            <w:r w:rsidR="00F51748"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ml/kg da solução </w:t>
            </w:r>
            <w:r w:rsidR="004E07D9"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de azul de metileno </w:t>
            </w:r>
            <w:r w:rsidR="00F51748"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a </w:t>
            </w:r>
            <w:r w:rsidR="002B2C98"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2</w:t>
            </w:r>
            <w:r w:rsidR="00F51748" w:rsidRPr="007C3F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% (1-2 mg/kg) IV</w:t>
            </w:r>
            <w:r w:rsidR="00F51748" w:rsidRPr="007C3F4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lentamente em 5-10</w:t>
            </w:r>
            <w:r w:rsidR="00CE515F" w:rsidRPr="007C3F4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minutos</w:t>
            </w:r>
            <w:r w:rsidR="00E201EB" w:rsidRPr="007C3F49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06E5AB08" w14:textId="77777777" w:rsidR="00EA3E1A" w:rsidRDefault="00EA3E1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33DEFA72" w14:textId="77777777" w:rsidR="00F51748" w:rsidRPr="0042073D" w:rsidRDefault="0042073D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42073D">
              <w:rPr>
                <w:rFonts w:ascii="Calibri" w:hAnsi="Calibri"/>
                <w:b/>
                <w:sz w:val="22"/>
                <w:szCs w:val="22"/>
                <w:lang w:val="pt-BR"/>
              </w:rPr>
              <w:t>Cuidados:</w:t>
            </w:r>
          </w:p>
          <w:p w14:paraId="0C3AA529" w14:textId="77777777" w:rsidR="0042073D" w:rsidRDefault="0042073D" w:rsidP="00961DB5">
            <w:pPr>
              <w:pStyle w:val="PargrafodaLista"/>
              <w:numPr>
                <w:ilvl w:val="0"/>
                <w:numId w:val="4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Doses elevadas de AM (&gt; 7 mg/kg) podem ter efeito oxidante e causar </w:t>
            </w:r>
            <w:r w:rsidR="006B20AB">
              <w:rPr>
                <w:rFonts w:ascii="Calibri" w:hAnsi="Calibri"/>
                <w:sz w:val="22"/>
                <w:szCs w:val="22"/>
                <w:lang w:val="pt-BR"/>
              </w:rPr>
              <w:t xml:space="preserve">hemólise 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metemoglobinemia.</w:t>
            </w:r>
          </w:p>
          <w:p w14:paraId="40DEBCC8" w14:textId="77777777" w:rsidR="0042073D" w:rsidRDefault="0042073D" w:rsidP="00961DB5">
            <w:pPr>
              <w:pStyle w:val="PargrafodaLista"/>
              <w:numPr>
                <w:ilvl w:val="0"/>
                <w:numId w:val="4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AM </w:t>
            </w:r>
            <w:r w:rsidR="006B20AB">
              <w:rPr>
                <w:rFonts w:ascii="Calibri" w:hAnsi="Calibri"/>
                <w:sz w:val="22"/>
                <w:szCs w:val="22"/>
                <w:lang w:val="pt-BR"/>
              </w:rPr>
              <w:t xml:space="preserve">é um inibidor da monoaminoxidase (MAO) e </w:t>
            </w:r>
            <w:r w:rsidRPr="00B10A5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pode precipitar uma</w:t>
            </w:r>
            <w:r w:rsidRPr="00B10A5C">
              <w:rPr>
                <w:rFonts w:ascii="Calibri" w:hAnsi="Calibri"/>
                <w:color w:val="C00000"/>
                <w:sz w:val="22"/>
                <w:szCs w:val="22"/>
                <w:lang w:val="pt-BR"/>
              </w:rPr>
              <w:t xml:space="preserve"> </w:t>
            </w:r>
            <w:r w:rsidRPr="00B10A5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síndrome serotoninérgica</w:t>
            </w:r>
            <w:r w:rsidRPr="00B10A5C">
              <w:rPr>
                <w:rFonts w:ascii="Calibri" w:hAnsi="Calibri"/>
                <w:color w:val="C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em pacientes fazendo uso de </w:t>
            </w:r>
            <w:r w:rsidR="0051340F">
              <w:rPr>
                <w:rFonts w:ascii="Calibri" w:hAnsi="Calibri"/>
                <w:sz w:val="22"/>
                <w:szCs w:val="22"/>
                <w:lang w:val="pt-BR"/>
              </w:rPr>
              <w:t>opioides</w:t>
            </w:r>
            <w:r w:rsidR="00EA3E1A">
              <w:rPr>
                <w:rFonts w:ascii="Calibri" w:hAnsi="Calibri"/>
                <w:sz w:val="22"/>
                <w:szCs w:val="22"/>
                <w:lang w:val="pt-BR"/>
              </w:rPr>
              <w:t>,</w:t>
            </w:r>
            <w:r w:rsidR="0051340F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antidepressivos inibidores seletivos de rec</w:t>
            </w:r>
            <w:r w:rsidR="0051340F">
              <w:rPr>
                <w:rFonts w:ascii="Calibri" w:hAnsi="Calibri"/>
                <w:sz w:val="22"/>
                <w:szCs w:val="22"/>
                <w:lang w:val="pt-BR"/>
              </w:rPr>
              <w:t>a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ptação de serotonina</w:t>
            </w:r>
            <w:r w:rsidR="00EA3E1A">
              <w:rPr>
                <w:rFonts w:ascii="Calibri" w:hAnsi="Calibri"/>
                <w:sz w:val="22"/>
                <w:szCs w:val="22"/>
                <w:lang w:val="pt-BR"/>
              </w:rPr>
              <w:t>, inibidores seletivos de</w:t>
            </w:r>
            <w:r w:rsidR="0051340F">
              <w:rPr>
                <w:rFonts w:ascii="Calibri" w:hAnsi="Calibri"/>
                <w:sz w:val="22"/>
                <w:szCs w:val="22"/>
                <w:lang w:val="pt-BR"/>
              </w:rPr>
              <w:t xml:space="preserve"> recaptação de serotonina/noradrenalina</w:t>
            </w:r>
            <w:r w:rsidR="00EA3E1A">
              <w:rPr>
                <w:rFonts w:ascii="Calibri" w:hAnsi="Calibri"/>
                <w:sz w:val="22"/>
                <w:szCs w:val="22"/>
                <w:lang w:val="pt-BR"/>
              </w:rPr>
              <w:t>, ou de inibidores da MAO</w:t>
            </w:r>
            <w:r w:rsidR="0051340F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3BFD28E9" w14:textId="77777777" w:rsidR="0004341C" w:rsidRDefault="0004341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1B64A93B" w14:textId="77777777" w:rsidR="009B4E17" w:rsidRDefault="009B4E17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</w:p>
          <w:p w14:paraId="7FBD01D0" w14:textId="77777777" w:rsidR="009B4E17" w:rsidRDefault="009B4E17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</w:p>
          <w:p w14:paraId="7A174DD4" w14:textId="77777777" w:rsidR="0004341C" w:rsidRPr="004E6328" w:rsidRDefault="0004341C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  <w:r w:rsidRPr="004E6328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Choque distributivo</w:t>
            </w:r>
            <w:r w:rsidR="00035537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(vasoplégico)</w:t>
            </w:r>
          </w:p>
          <w:p w14:paraId="6B11C063" w14:textId="77777777" w:rsidR="00E920CD" w:rsidRPr="00E920CD" w:rsidRDefault="00E920CD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E920C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O AM inibe a guanilato ciclase e consequente geração de óxido nítrico (NO) no endotélio vascular (inibidor seletivo da via NO-GMPc), diminuindo a vasodilatação e melhorando a resposta aos vasopressores.  </w:t>
            </w:r>
          </w:p>
          <w:p w14:paraId="230E9844" w14:textId="77777777" w:rsidR="0004341C" w:rsidRDefault="0004341C" w:rsidP="00961DB5">
            <w:pPr>
              <w:pStyle w:val="PargrafodaLista"/>
              <w:numPr>
                <w:ilvl w:val="0"/>
                <w:numId w:val="43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Doses </w:t>
            </w:r>
            <w:r w:rsidR="00035537">
              <w:rPr>
                <w:rFonts w:ascii="Calibri" w:hAnsi="Calibri"/>
                <w:sz w:val="22"/>
                <w:szCs w:val="22"/>
                <w:lang w:val="pt-BR"/>
              </w:rPr>
              <w:t>utilizadas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em relatos de casos com resposta favorável</w:t>
            </w:r>
            <w:r w:rsidR="00035537">
              <w:rPr>
                <w:rFonts w:ascii="Calibri" w:hAnsi="Calibri"/>
                <w:sz w:val="22"/>
                <w:szCs w:val="22"/>
                <w:lang w:val="pt-BR"/>
              </w:rPr>
              <w:t xml:space="preserve"> são em geral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C72805">
              <w:rPr>
                <w:rFonts w:ascii="Calibri" w:hAnsi="Calibri"/>
                <w:sz w:val="22"/>
                <w:szCs w:val="22"/>
                <w:lang w:val="pt-BR"/>
              </w:rPr>
              <w:t>similares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às doses</w:t>
            </w:r>
            <w:r w:rsidR="00304971">
              <w:rPr>
                <w:rFonts w:ascii="Calibri" w:hAnsi="Calibri"/>
                <w:sz w:val="22"/>
                <w:szCs w:val="22"/>
                <w:lang w:val="pt-BR"/>
              </w:rPr>
              <w:t xml:space="preserve"> iniciais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utilizadas para tratamento da</w:t>
            </w:r>
            <w:r w:rsidR="00035537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metemoglobinemia;</w:t>
            </w:r>
          </w:p>
          <w:p w14:paraId="01F43DC0" w14:textId="77777777" w:rsidR="0004341C" w:rsidRDefault="00304971" w:rsidP="00961DB5">
            <w:pPr>
              <w:pStyle w:val="PargrafodaLista"/>
              <w:numPr>
                <w:ilvl w:val="1"/>
                <w:numId w:val="43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304971">
              <w:rPr>
                <w:rFonts w:ascii="Calibri" w:hAnsi="Calibri"/>
                <w:sz w:val="22"/>
                <w:szCs w:val="22"/>
                <w:lang w:val="pt-BR"/>
              </w:rPr>
              <w:t xml:space="preserve">Dose </w:t>
            </w:r>
            <w:r w:rsidR="0004341C">
              <w:rPr>
                <w:rFonts w:ascii="Calibri" w:hAnsi="Calibri"/>
                <w:sz w:val="22"/>
                <w:szCs w:val="22"/>
                <w:lang w:val="pt-BR"/>
              </w:rPr>
              <w:t>inicial de 1-2 mg/kg (0,</w:t>
            </w:r>
            <w:r w:rsidR="002B2C98">
              <w:rPr>
                <w:rFonts w:ascii="Calibri" w:hAnsi="Calibri"/>
                <w:sz w:val="22"/>
                <w:szCs w:val="22"/>
                <w:lang w:val="pt-BR"/>
              </w:rPr>
              <w:t>05</w:t>
            </w:r>
            <w:r w:rsidR="0004341C">
              <w:rPr>
                <w:rFonts w:ascii="Calibri" w:hAnsi="Calibri"/>
                <w:sz w:val="22"/>
                <w:szCs w:val="22"/>
                <w:lang w:val="pt-BR"/>
              </w:rPr>
              <w:t>-0,</w:t>
            </w:r>
            <w:r w:rsidR="002B2C98">
              <w:rPr>
                <w:rFonts w:ascii="Calibri" w:hAnsi="Calibri"/>
                <w:sz w:val="22"/>
                <w:szCs w:val="22"/>
                <w:lang w:val="pt-BR"/>
              </w:rPr>
              <w:t>1</w:t>
            </w:r>
            <w:r w:rsidR="0004341C">
              <w:rPr>
                <w:rFonts w:ascii="Calibri" w:hAnsi="Calibri"/>
                <w:sz w:val="22"/>
                <w:szCs w:val="22"/>
                <w:lang w:val="pt-BR"/>
              </w:rPr>
              <w:t xml:space="preserve"> ml/kg do AM a 10%)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para correr em 15-30 minutos</w:t>
            </w:r>
            <w:r w:rsidR="0004341C">
              <w:rPr>
                <w:rFonts w:ascii="Calibri" w:hAnsi="Calibri"/>
                <w:sz w:val="22"/>
                <w:szCs w:val="22"/>
                <w:lang w:val="pt-BR"/>
              </w:rPr>
              <w:t>;</w:t>
            </w:r>
          </w:p>
          <w:p w14:paraId="11F1A873" w14:textId="77777777" w:rsidR="0004341C" w:rsidRDefault="00DE4A98" w:rsidP="00961DB5">
            <w:pPr>
              <w:pStyle w:val="PargrafodaLista"/>
              <w:numPr>
                <w:ilvl w:val="1"/>
                <w:numId w:val="43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Avaliar necessidade de outras doses ou infusão contínua (</w:t>
            </w:r>
            <w:r w:rsidR="00304971">
              <w:rPr>
                <w:rFonts w:ascii="Calibri" w:hAnsi="Calibri"/>
                <w:sz w:val="22"/>
                <w:szCs w:val="22"/>
                <w:lang w:val="pt-BR"/>
              </w:rPr>
              <w:t>0,25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-</w:t>
            </w:r>
            <w:r w:rsidR="00392946">
              <w:rPr>
                <w:rFonts w:ascii="Calibri" w:hAnsi="Calibri"/>
                <w:sz w:val="22"/>
                <w:szCs w:val="22"/>
                <w:lang w:val="pt-BR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mcg/kg/h) de AM caso não ocorra melhora da PA</w:t>
            </w:r>
            <w:r w:rsidR="00392946">
              <w:rPr>
                <w:rFonts w:ascii="Calibri" w:hAnsi="Calibri"/>
                <w:sz w:val="22"/>
                <w:szCs w:val="22"/>
                <w:lang w:val="pt-BR"/>
              </w:rPr>
              <w:t>M</w:t>
            </w:r>
            <w:r w:rsidR="00304971">
              <w:rPr>
                <w:rFonts w:ascii="Calibri" w:hAnsi="Calibri"/>
                <w:sz w:val="22"/>
                <w:szCs w:val="22"/>
                <w:lang w:val="pt-BR"/>
              </w:rPr>
              <w:t xml:space="preserve"> (&lt; 65 mmHg)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;</w:t>
            </w:r>
            <w:r w:rsidR="0004341C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7ED7F202" w14:textId="77777777" w:rsidR="00DE4A98" w:rsidRPr="0004341C" w:rsidRDefault="00035537" w:rsidP="00961DB5">
            <w:pPr>
              <w:pStyle w:val="PargrafodaLista"/>
              <w:numPr>
                <w:ilvl w:val="1"/>
                <w:numId w:val="43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Tentar e</w:t>
            </w:r>
            <w:r w:rsidR="00DE4A98">
              <w:rPr>
                <w:rFonts w:ascii="Calibri" w:hAnsi="Calibri"/>
                <w:sz w:val="22"/>
                <w:szCs w:val="22"/>
                <w:lang w:val="pt-BR"/>
              </w:rPr>
              <w:t>vitar doses tóxicas de AM (&gt; 7 mg/kg).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3D6C2A57" w14:textId="77777777" w:rsidR="00F51748" w:rsidRPr="007937DE" w:rsidRDefault="00F5174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ampolas de </w:t>
            </w:r>
            <w:r w:rsidR="002B2C98">
              <w:rPr>
                <w:rFonts w:ascii="Calibri" w:hAnsi="Calibri"/>
                <w:sz w:val="22"/>
                <w:szCs w:val="22"/>
                <w:lang w:val="pt-BR"/>
              </w:rPr>
              <w:t>5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ml a </w:t>
            </w:r>
            <w:r w:rsidR="002B2C98">
              <w:rPr>
                <w:rFonts w:ascii="Calibri" w:hAnsi="Calibri"/>
                <w:sz w:val="22"/>
                <w:szCs w:val="22"/>
                <w:lang w:val="pt-BR"/>
              </w:rPr>
              <w:t>2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% (</w:t>
            </w:r>
            <w:r w:rsidR="002B2C98">
              <w:rPr>
                <w:rFonts w:ascii="Calibri" w:hAnsi="Calibri"/>
                <w:sz w:val="22"/>
                <w:szCs w:val="22"/>
                <w:lang w:val="pt-BR"/>
              </w:rPr>
              <w:t>2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mg/ml).</w:t>
            </w:r>
          </w:p>
          <w:p w14:paraId="79A12FEE" w14:textId="77777777" w:rsidR="00E94F04" w:rsidRPr="007937DE" w:rsidRDefault="00E94F04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37B8C5FB" w14:textId="77777777" w:rsidR="00F51748" w:rsidRDefault="00F51748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2B2C98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2B2C9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 w:rsidR="00BF10FE" w:rsidRPr="002B2C98">
              <w:rPr>
                <w:rFonts w:ascii="Calibri" w:hAnsi="Calibri"/>
                <w:b/>
                <w:sz w:val="22"/>
                <w:szCs w:val="22"/>
                <w:lang w:val="pt-BR"/>
              </w:rPr>
              <w:t>5</w:t>
            </w:r>
            <w:r w:rsidRPr="002B2C9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ampolas</w:t>
            </w:r>
            <w:r w:rsidR="00836461" w:rsidRPr="002B2C9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</w:t>
            </w:r>
            <w:r w:rsidR="002B2C98" w:rsidRPr="002B2C9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25 ml= </w:t>
            </w:r>
            <w:r w:rsidR="00BF10FE" w:rsidRPr="002B2C98">
              <w:rPr>
                <w:rFonts w:ascii="Calibri" w:hAnsi="Calibri"/>
                <w:b/>
                <w:sz w:val="22"/>
                <w:szCs w:val="22"/>
                <w:lang w:val="pt-BR"/>
              </w:rPr>
              <w:t>5</w:t>
            </w:r>
            <w:r w:rsidR="002B2C98" w:rsidRPr="002B2C98">
              <w:rPr>
                <w:rFonts w:ascii="Calibri" w:hAnsi="Calibri"/>
                <w:b/>
                <w:sz w:val="22"/>
                <w:szCs w:val="22"/>
                <w:lang w:val="pt-BR"/>
              </w:rPr>
              <w:t>0</w:t>
            </w:r>
            <w:r w:rsidR="00836461" w:rsidRPr="002B2C9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mg)</w:t>
            </w:r>
          </w:p>
          <w:p w14:paraId="46900639" w14:textId="77777777" w:rsidR="007904DB" w:rsidRDefault="007904D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530C8EDA" w14:textId="57CCBFC4" w:rsidR="002A531F" w:rsidRPr="007937DE" w:rsidRDefault="002A531F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23D114BE" w14:textId="77777777" w:rsidR="002A531F" w:rsidRPr="002B2C98" w:rsidRDefault="002A531F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F51748" w:rsidRPr="0089272C" w14:paraId="09C99591" w14:textId="77777777" w:rsidTr="00961DB5">
        <w:tc>
          <w:tcPr>
            <w:tcW w:w="766" w:type="pct"/>
            <w:shd w:val="clear" w:color="auto" w:fill="auto"/>
          </w:tcPr>
          <w:p w14:paraId="7F94AD1F" w14:textId="7BE13B8A" w:rsidR="00F51748" w:rsidRPr="006C070E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bookmarkStart w:id="27" w:name="_Toc125971525"/>
            <w:bookmarkStart w:id="28" w:name="_Toc126746422"/>
            <w:bookmarkStart w:id="29" w:name="_Toc126746571"/>
            <w:bookmarkStart w:id="30" w:name="_Toc126750583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BICARBONATO DE SÓDIO</w:t>
            </w:r>
            <w:bookmarkEnd w:id="27"/>
            <w:bookmarkEnd w:id="28"/>
            <w:bookmarkEnd w:id="29"/>
            <w:bookmarkEnd w:id="30"/>
            <w:r w:rsidR="00F51748" w:rsidRPr="006C070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, inj.</w:t>
            </w:r>
          </w:p>
        </w:tc>
        <w:tc>
          <w:tcPr>
            <w:tcW w:w="1039" w:type="pct"/>
            <w:shd w:val="clear" w:color="auto" w:fill="auto"/>
          </w:tcPr>
          <w:p w14:paraId="05C279BF" w14:textId="77777777" w:rsidR="00EF0340" w:rsidRPr="007937DE" w:rsidRDefault="00EF0340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Alcalinização sérica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intoxicações </w:t>
            </w:r>
          </w:p>
          <w:p w14:paraId="10C5550E" w14:textId="77777777" w:rsidR="005977ED" w:rsidRPr="007937DE" w:rsidRDefault="00F5174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por 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antidepressivos tricíclicos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e outras drogas</w:t>
            </w:r>
            <w:r w:rsidR="007A53CB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, como </w:t>
            </w:r>
            <w:r w:rsidR="007A53CB"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cocaína</w:t>
            </w:r>
            <w:r w:rsidR="007A53CB">
              <w:rPr>
                <w:rFonts w:ascii="Calibri" w:hAnsi="Calibri"/>
                <w:sz w:val="22"/>
                <w:szCs w:val="22"/>
                <w:lang w:val="pt-BR"/>
              </w:rPr>
              <w:t xml:space="preserve">, </w:t>
            </w:r>
            <w:r w:rsidR="00EF034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que causam aumento </w:t>
            </w:r>
            <w:r w:rsidR="0052585E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importante </w:t>
            </w:r>
            <w:r w:rsidR="00EF034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da duração do intervalo </w:t>
            </w:r>
            <w:r w:rsidR="00EF0340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QRS no ECG</w:t>
            </w:r>
            <w:r w:rsidR="0052585E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(&gt; 120 ms</w:t>
            </w:r>
            <w:r w:rsidR="0052585E" w:rsidRPr="007937DE">
              <w:rPr>
                <w:rFonts w:ascii="Calibri" w:hAnsi="Calibri"/>
                <w:sz w:val="22"/>
                <w:szCs w:val="22"/>
                <w:lang w:val="pt-BR"/>
              </w:rPr>
              <w:t>)</w:t>
            </w:r>
            <w:r w:rsidR="00EF0340"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  <w:r w:rsidR="00831006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7D5CA431" w14:textId="77777777" w:rsidR="007F3961" w:rsidRDefault="007F3961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6613EF26" w14:textId="77777777" w:rsidR="00EF0340" w:rsidRPr="007937DE" w:rsidRDefault="00831006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Aumento da duração do QRS &gt; 160 ms está associado com </w:t>
            </w:r>
            <w:r w:rsidR="007A53CB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alt</w:t>
            </w:r>
            <w:r w:rsidRPr="007937DE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o risco de cardiotoxicidade grave com evolução para arritmias.</w:t>
            </w:r>
          </w:p>
          <w:p w14:paraId="25CA6EAE" w14:textId="77777777" w:rsidR="005977ED" w:rsidRPr="007937DE" w:rsidRDefault="005977ED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6204D5F0" w14:textId="77777777" w:rsidR="00EF0340" w:rsidRPr="007937DE" w:rsidRDefault="00F5174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Alcalinização urinária</w:t>
            </w:r>
            <w:r w:rsidRPr="006C1DF1">
              <w:rPr>
                <w:rFonts w:ascii="Calibri" w:hAnsi="Calibri"/>
                <w:i/>
                <w:iCs/>
                <w:color w:val="C00000"/>
                <w:sz w:val="22"/>
                <w:szCs w:val="22"/>
                <w:lang w:val="pt-BR"/>
              </w:rPr>
              <w:t>:</w:t>
            </w:r>
            <w:r w:rsidRPr="006C1DF1">
              <w:rPr>
                <w:rFonts w:ascii="Calibri" w:hAnsi="Calibri"/>
                <w:color w:val="C00000"/>
                <w:sz w:val="22"/>
                <w:szCs w:val="22"/>
                <w:lang w:val="pt-BR"/>
              </w:rPr>
              <w:t xml:space="preserve">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aumento da eliminação de drogas com pK</w:t>
            </w:r>
            <w:r w:rsidRPr="007937DE">
              <w:rPr>
                <w:rFonts w:ascii="Calibri" w:hAnsi="Calibri"/>
                <w:sz w:val="22"/>
                <w:szCs w:val="22"/>
                <w:vertAlign w:val="subscript"/>
                <w:lang w:val="pt-BR"/>
              </w:rPr>
              <w:t xml:space="preserve">a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ácido como 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salicilatos</w:t>
            </w:r>
            <w:r w:rsidR="007A53CB" w:rsidRPr="007A53CB">
              <w:rPr>
                <w:rFonts w:ascii="Calibri" w:hAnsi="Calibri"/>
                <w:bCs/>
                <w:iCs/>
                <w:sz w:val="22"/>
                <w:szCs w:val="22"/>
                <w:lang w:val="pt-BR"/>
              </w:rPr>
              <w:t xml:space="preserve"> e, </w:t>
            </w:r>
            <w:r w:rsidR="007C3F49">
              <w:rPr>
                <w:rFonts w:ascii="Calibri" w:hAnsi="Calibri"/>
                <w:sz w:val="22"/>
                <w:szCs w:val="22"/>
                <w:lang w:val="pt-BR"/>
              </w:rPr>
              <w:t>eventualmente</w:t>
            </w:r>
            <w:r w:rsidR="00FE4AFA">
              <w:rPr>
                <w:rFonts w:ascii="Calibri" w:hAnsi="Calibri"/>
                <w:sz w:val="22"/>
                <w:szCs w:val="22"/>
                <w:lang w:val="pt-BR"/>
              </w:rPr>
              <w:t>,</w:t>
            </w:r>
            <w:r w:rsidR="007C3F49">
              <w:rPr>
                <w:rFonts w:ascii="Calibri" w:hAnsi="Calibri"/>
                <w:sz w:val="22"/>
                <w:szCs w:val="22"/>
                <w:lang w:val="pt-BR"/>
              </w:rPr>
              <w:t xml:space="preserve"> por </w:t>
            </w:r>
            <w:r w:rsidR="007C3F49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fenobarbital.</w:t>
            </w:r>
          </w:p>
          <w:p w14:paraId="6E903206" w14:textId="77777777" w:rsidR="005977ED" w:rsidRPr="007937DE" w:rsidRDefault="005977ED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2CDC0837" w14:textId="77777777" w:rsidR="00F51748" w:rsidRPr="007937DE" w:rsidRDefault="00EF0340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Correção de acidose metabólica</w:t>
            </w:r>
            <w:r w:rsidR="0052585E"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 </w:t>
            </w:r>
            <w:r w:rsidR="002620C6"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grave</w:t>
            </w:r>
            <w:r w:rsidR="0052585E"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 xml:space="preserve"> persistente</w:t>
            </w:r>
            <w:r w:rsidR="0052585E" w:rsidRPr="007937DE">
              <w:rPr>
                <w:rFonts w:ascii="Calibri" w:hAnsi="Calibri"/>
                <w:sz w:val="22"/>
                <w:szCs w:val="22"/>
                <w:lang w:val="pt-BR"/>
              </w:rPr>
              <w:t>, a despeito da correção da hipoxemia e da ressuscitação hídrica</w:t>
            </w:r>
            <w:r w:rsidR="00C72805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  <w:r w:rsidR="0052585E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36" w:type="pct"/>
          </w:tcPr>
          <w:p w14:paraId="1033FF86" w14:textId="77777777" w:rsidR="00C72805" w:rsidRDefault="00831006" w:rsidP="00961DB5">
            <w:pPr>
              <w:pStyle w:val="PargrafodaLista"/>
              <w:numPr>
                <w:ilvl w:val="0"/>
                <w:numId w:val="5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>QRS de 120-160 ms</w:t>
            </w:r>
            <w:r w:rsidRPr="00C72805">
              <w:rPr>
                <w:rFonts w:ascii="Calibri" w:hAnsi="Calibri"/>
                <w:sz w:val="22"/>
                <w:szCs w:val="22"/>
                <w:lang w:val="pt-BR"/>
              </w:rPr>
              <w:t xml:space="preserve">: Administrar </w:t>
            </w:r>
            <w:r w:rsidR="00C72805">
              <w:rPr>
                <w:rFonts w:ascii="Calibri" w:hAnsi="Calibri"/>
                <w:sz w:val="22"/>
                <w:szCs w:val="22"/>
                <w:lang w:val="pt-BR"/>
              </w:rPr>
              <w:t>u</w:t>
            </w:r>
            <w:r w:rsidR="004E07D9" w:rsidRPr="00C72805">
              <w:rPr>
                <w:rFonts w:ascii="Calibri" w:hAnsi="Calibri"/>
                <w:sz w:val="22"/>
                <w:szCs w:val="22"/>
                <w:lang w:val="pt-BR"/>
              </w:rPr>
              <w:t xml:space="preserve">m </w:t>
            </w:r>
            <w:r w:rsidR="00BE6276" w:rsidRPr="007A53CB">
              <w:rPr>
                <w:rFonts w:ascii="Calibri" w:hAnsi="Calibri"/>
                <w:i/>
                <w:sz w:val="22"/>
                <w:szCs w:val="22"/>
                <w:lang w:val="pt-BR"/>
              </w:rPr>
              <w:t>bolus</w:t>
            </w:r>
            <w:r w:rsidRPr="00C72805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C65E17">
              <w:rPr>
                <w:rFonts w:ascii="Calibri" w:hAnsi="Calibri"/>
                <w:sz w:val="22"/>
                <w:szCs w:val="22"/>
                <w:lang w:val="pt-BR"/>
              </w:rPr>
              <w:t xml:space="preserve">de </w:t>
            </w:r>
            <w:r w:rsidRPr="00C72805">
              <w:rPr>
                <w:rFonts w:ascii="Calibri" w:hAnsi="Calibri"/>
                <w:sz w:val="22"/>
                <w:szCs w:val="22"/>
                <w:lang w:val="pt-BR"/>
              </w:rPr>
              <w:t>50 ml IV (50 mEq) de solução de bicarbonato a 8,4%. Caso se mantenha o prolongamento do QR</w:t>
            </w:r>
            <w:r w:rsidR="00D63032" w:rsidRPr="00C72805">
              <w:rPr>
                <w:rFonts w:ascii="Calibri" w:hAnsi="Calibri"/>
                <w:sz w:val="22"/>
                <w:szCs w:val="22"/>
                <w:lang w:val="pt-BR"/>
              </w:rPr>
              <w:t>S</w:t>
            </w:r>
            <w:r w:rsidRPr="00C72805">
              <w:rPr>
                <w:rFonts w:ascii="Calibri" w:hAnsi="Calibri"/>
                <w:sz w:val="22"/>
                <w:szCs w:val="22"/>
                <w:lang w:val="pt-BR"/>
              </w:rPr>
              <w:t xml:space="preserve"> outros </w:t>
            </w:r>
            <w:r w:rsidR="00BE6276" w:rsidRPr="00C72805">
              <w:rPr>
                <w:rFonts w:ascii="Calibri" w:hAnsi="Calibri"/>
                <w:i/>
                <w:sz w:val="22"/>
                <w:szCs w:val="22"/>
                <w:lang w:val="pt-BR"/>
              </w:rPr>
              <w:t>bolus</w:t>
            </w:r>
            <w:r w:rsidRPr="00C72805">
              <w:rPr>
                <w:rFonts w:ascii="Calibri" w:hAnsi="Calibri"/>
                <w:sz w:val="22"/>
                <w:szCs w:val="22"/>
                <w:lang w:val="pt-BR"/>
              </w:rPr>
              <w:t xml:space="preserve"> podem ser repetidos.</w:t>
            </w:r>
          </w:p>
          <w:p w14:paraId="35DE6D7B" w14:textId="77777777" w:rsidR="000C44F7" w:rsidRPr="00C72805" w:rsidRDefault="00831006" w:rsidP="00961DB5">
            <w:pPr>
              <w:pStyle w:val="PargrafodaLista"/>
              <w:numPr>
                <w:ilvl w:val="0"/>
                <w:numId w:val="5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>QRS &gt; 160 ms</w:t>
            </w:r>
            <w:r w:rsidRPr="00C72805">
              <w:rPr>
                <w:rFonts w:ascii="Calibri" w:hAnsi="Calibri"/>
                <w:sz w:val="22"/>
                <w:szCs w:val="22"/>
                <w:lang w:val="pt-BR"/>
              </w:rPr>
              <w:t xml:space="preserve">: Administrar um </w:t>
            </w:r>
            <w:r w:rsidR="00BE6276" w:rsidRPr="00C72805">
              <w:rPr>
                <w:rFonts w:ascii="Calibri" w:hAnsi="Calibri"/>
                <w:i/>
                <w:sz w:val="22"/>
                <w:szCs w:val="22"/>
                <w:lang w:val="pt-BR"/>
              </w:rPr>
              <w:t>bolus</w:t>
            </w:r>
            <w:r w:rsidRPr="00C72805">
              <w:rPr>
                <w:rFonts w:ascii="Calibri" w:hAnsi="Calibri"/>
                <w:sz w:val="22"/>
                <w:szCs w:val="22"/>
                <w:lang w:val="pt-BR"/>
              </w:rPr>
              <w:t xml:space="preserve"> de 100 ml IV (100 mEq) de solução de bicarbonato a 8,4%. Outros </w:t>
            </w:r>
            <w:r w:rsidR="00BE6276" w:rsidRPr="00C72805">
              <w:rPr>
                <w:rFonts w:ascii="Calibri" w:hAnsi="Calibri"/>
                <w:i/>
                <w:sz w:val="22"/>
                <w:szCs w:val="22"/>
                <w:lang w:val="pt-BR"/>
              </w:rPr>
              <w:t>bolus</w:t>
            </w:r>
            <w:r w:rsidRPr="00C72805">
              <w:rPr>
                <w:rFonts w:ascii="Calibri" w:hAnsi="Calibri"/>
                <w:sz w:val="22"/>
                <w:szCs w:val="22"/>
                <w:lang w:val="pt-BR"/>
              </w:rPr>
              <w:t xml:space="preserve"> podem ser repetidos</w:t>
            </w:r>
            <w:r w:rsidR="00007EC6" w:rsidRPr="00C72805">
              <w:rPr>
                <w:rFonts w:ascii="Calibri" w:hAnsi="Calibri"/>
                <w:sz w:val="22"/>
                <w:szCs w:val="22"/>
                <w:lang w:val="pt-BR"/>
              </w:rPr>
              <w:t xml:space="preserve"> caso o pH seja &lt; 7,5 e persistirem o prolongamento do QRS e as arritmias</w:t>
            </w:r>
            <w:r w:rsidR="000C44F7" w:rsidRPr="00C72805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311ACB32" w14:textId="77777777" w:rsidR="00F51748" w:rsidRPr="000C44F7" w:rsidRDefault="00007EC6" w:rsidP="00961DB5">
            <w:pPr>
              <w:pStyle w:val="PargrafodaLista"/>
              <w:numPr>
                <w:ilvl w:val="0"/>
                <w:numId w:val="5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0C44F7">
              <w:rPr>
                <w:rFonts w:ascii="Calibri" w:hAnsi="Calibri"/>
                <w:b/>
                <w:sz w:val="22"/>
                <w:szCs w:val="22"/>
                <w:lang w:val="pt-BR"/>
              </w:rPr>
              <w:t>Crianças com prolongamento do QRS</w:t>
            </w: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: Administrar 1-2 ml/kg de bicarbonato a 8,4% se cateter central, ou 2-4 ml/kg de </w:t>
            </w:r>
            <w:r w:rsidRPr="007A53C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bicarbonato a 4,2% </w:t>
            </w: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>se cateter por veia periférica. Administra</w:t>
            </w:r>
            <w:r w:rsidR="004D3866" w:rsidRPr="000C44F7">
              <w:rPr>
                <w:rFonts w:ascii="Calibri" w:hAnsi="Calibri"/>
                <w:sz w:val="22"/>
                <w:szCs w:val="22"/>
                <w:lang w:val="pt-BR"/>
              </w:rPr>
              <w:t>r</w:t>
            </w: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 em </w:t>
            </w:r>
            <w:r w:rsidR="00BE6276" w:rsidRPr="000C44F7">
              <w:rPr>
                <w:rFonts w:ascii="Calibri" w:hAnsi="Calibri"/>
                <w:i/>
                <w:sz w:val="22"/>
                <w:szCs w:val="22"/>
                <w:lang w:val="pt-BR"/>
              </w:rPr>
              <w:t>bolus</w:t>
            </w: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 na presença de taquicardia ventricular ou em 20 minutos se apenas prolongamento do QRS.</w:t>
            </w:r>
          </w:p>
          <w:p w14:paraId="6BF209E3" w14:textId="77777777" w:rsidR="005977ED" w:rsidRPr="007937DE" w:rsidRDefault="005977ED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3F7249AB" w14:textId="77777777" w:rsidR="007C3F49" w:rsidRPr="007C3F49" w:rsidRDefault="00007EC6" w:rsidP="00961DB5">
            <w:pPr>
              <w:pStyle w:val="PargrafodaLista"/>
              <w:numPr>
                <w:ilvl w:val="0"/>
                <w:numId w:val="51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0C44F7">
              <w:rPr>
                <w:rFonts w:ascii="Calibri" w:hAnsi="Calibri"/>
                <w:b/>
                <w:sz w:val="22"/>
                <w:szCs w:val="22"/>
                <w:lang w:val="pt-BR"/>
              </w:rPr>
              <w:t>Alcalinização urinária</w:t>
            </w:r>
            <w:r w:rsidR="007C3F49">
              <w:rPr>
                <w:rFonts w:ascii="Calibri" w:hAnsi="Calibri"/>
                <w:b/>
                <w:sz w:val="22"/>
                <w:szCs w:val="22"/>
                <w:lang w:val="pt-BR"/>
              </w:rPr>
              <w:t>:</w:t>
            </w:r>
          </w:p>
          <w:p w14:paraId="1E80F6DF" w14:textId="77777777" w:rsidR="007C3F49" w:rsidRPr="007C3F49" w:rsidRDefault="007C3F49" w:rsidP="00961DB5">
            <w:pPr>
              <w:pStyle w:val="PargrafodaLista"/>
              <w:numPr>
                <w:ilvl w:val="0"/>
                <w:numId w:val="51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C</w:t>
            </w:r>
            <w:r w:rsidR="00545E65" w:rsidRPr="000C44F7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onsiderar </w:t>
            </w:r>
            <w:r w:rsidR="00567252" w:rsidRPr="000C44F7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seu uso </w:t>
            </w:r>
            <w:r w:rsidR="00545E65" w:rsidRPr="000C44F7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nas </w:t>
            </w:r>
            <w:r w:rsidR="00517E1C" w:rsidRPr="007C3F49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intoxicações por salicilatos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.</w:t>
            </w:r>
          </w:p>
          <w:p w14:paraId="548B8301" w14:textId="77777777" w:rsidR="000C44F7" w:rsidRPr="000C44F7" w:rsidRDefault="007C3F49" w:rsidP="00961DB5">
            <w:pPr>
              <w:pStyle w:val="PargrafodaLista"/>
              <w:numPr>
                <w:ilvl w:val="0"/>
                <w:numId w:val="51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 administração de </w:t>
            </w:r>
            <w:r w:rsidRPr="007C3F49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doses múltiplas de carvão ativado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é mais efetiva que a alcalinização urinária em relação ao aumento da eliminação do </w:t>
            </w:r>
            <w:r w:rsidRPr="007C3F49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fenobarbital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.  </w:t>
            </w:r>
            <w:r w:rsidR="00007EC6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072DADD6" w14:textId="77777777" w:rsidR="000C44F7" w:rsidRPr="000C44F7" w:rsidRDefault="00567252" w:rsidP="00961DB5">
            <w:pPr>
              <w:pStyle w:val="PargrafodaLista"/>
              <w:numPr>
                <w:ilvl w:val="0"/>
                <w:numId w:val="54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A </w:t>
            </w:r>
            <w:r w:rsidR="00007EC6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meta </w:t>
            </w:r>
            <w:r w:rsidR="007A53CB">
              <w:rPr>
                <w:rFonts w:ascii="Calibri" w:hAnsi="Calibri"/>
                <w:sz w:val="22"/>
                <w:szCs w:val="22"/>
                <w:lang w:val="pt-BR"/>
              </w:rPr>
              <w:t xml:space="preserve">da alcalinização </w:t>
            </w: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visa </w:t>
            </w:r>
            <w:r w:rsidR="00007EC6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atingir um pH urinário </w:t>
            </w:r>
            <w:r w:rsidR="00F24DE2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ao redor de </w:t>
            </w:r>
            <w:r w:rsidR="00007EC6" w:rsidRPr="000C44F7">
              <w:rPr>
                <w:rFonts w:ascii="Calibri" w:hAnsi="Calibri"/>
                <w:sz w:val="22"/>
                <w:szCs w:val="22"/>
                <w:lang w:val="pt-BR"/>
              </w:rPr>
              <w:t>7,</w:t>
            </w:r>
            <w:r w:rsidR="00613BBB" w:rsidRPr="000C44F7">
              <w:rPr>
                <w:rFonts w:ascii="Calibri" w:hAnsi="Calibri"/>
                <w:sz w:val="22"/>
                <w:szCs w:val="22"/>
                <w:lang w:val="pt-BR"/>
              </w:rPr>
              <w:t>5</w:t>
            </w:r>
            <w:r w:rsidR="00F24DE2" w:rsidRPr="000C44F7">
              <w:rPr>
                <w:rFonts w:ascii="Calibri" w:hAnsi="Calibri"/>
                <w:sz w:val="22"/>
                <w:szCs w:val="22"/>
                <w:lang w:val="pt-BR"/>
              </w:rPr>
              <w:t>-8,0</w:t>
            </w:r>
            <w:r w:rsidR="00517E1C" w:rsidRPr="000C44F7">
              <w:rPr>
                <w:rFonts w:ascii="Calibri" w:hAnsi="Calibri"/>
                <w:sz w:val="22"/>
                <w:szCs w:val="22"/>
                <w:lang w:val="pt-BR"/>
              </w:rPr>
              <w:t>, evitando um pH sérico &gt; 7,55</w:t>
            </w:r>
            <w:r w:rsidR="00007EC6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</w:p>
          <w:p w14:paraId="7E729081" w14:textId="77777777" w:rsidR="000C44F7" w:rsidRPr="000C44F7" w:rsidRDefault="00613BBB" w:rsidP="00961DB5">
            <w:pPr>
              <w:pStyle w:val="PargrafodaLista"/>
              <w:numPr>
                <w:ilvl w:val="0"/>
                <w:numId w:val="54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Pode ser iniciada com </w:t>
            </w:r>
            <w:r w:rsidR="004D7090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infusão contínua </w:t>
            </w:r>
            <w:r w:rsidR="00517E1C" w:rsidRPr="000C44F7">
              <w:rPr>
                <w:rFonts w:ascii="Calibri" w:hAnsi="Calibri"/>
                <w:sz w:val="22"/>
                <w:szCs w:val="22"/>
                <w:lang w:val="pt-BR"/>
              </w:rPr>
              <w:t>de</w:t>
            </w:r>
            <w:r w:rsidR="004D7090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517E1C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um litro de </w:t>
            </w:r>
            <w:r w:rsidR="004D7090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solução isotônica </w:t>
            </w: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de bicarbonato </w:t>
            </w:r>
            <w:r w:rsidR="00517E1C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de sódio </w:t>
            </w: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>a 1,26% (150 mEq)</w:t>
            </w:r>
            <w:r w:rsidR="00517E1C" w:rsidRPr="000C44F7">
              <w:rPr>
                <w:rFonts w:ascii="Calibri" w:hAnsi="Calibri"/>
                <w:sz w:val="22"/>
                <w:szCs w:val="22"/>
                <w:lang w:val="pt-BR"/>
              </w:rPr>
              <w:t>, para correr em 4-8h, com monitorização do pH urinário</w:t>
            </w: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  <w:r w:rsidR="00517E1C"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0C1E93B0" w14:textId="77777777" w:rsidR="00007EC6" w:rsidRPr="000C44F7" w:rsidRDefault="00517E1C" w:rsidP="00961DB5">
            <w:pPr>
              <w:pStyle w:val="PargrafodaLista"/>
              <w:numPr>
                <w:ilvl w:val="0"/>
                <w:numId w:val="54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>Em pacientes com níveis séricos de bicarbonato</w:t>
            </w:r>
            <w:r w:rsidR="000C44F7">
              <w:rPr>
                <w:rFonts w:ascii="Calibri" w:hAnsi="Calibri"/>
                <w:sz w:val="22"/>
                <w:szCs w:val="22"/>
                <w:lang w:val="pt-BR"/>
              </w:rPr>
              <w:t xml:space="preserve"> diminuídos</w:t>
            </w:r>
            <w:r w:rsidRPr="000C44F7">
              <w:rPr>
                <w:rFonts w:ascii="Calibri" w:hAnsi="Calibri"/>
                <w:sz w:val="22"/>
                <w:szCs w:val="22"/>
                <w:lang w:val="pt-BR"/>
              </w:rPr>
              <w:t xml:space="preserve"> considerar a administração de 1-2 mEq/kg de bicarbonato antes de iniciar a infusão contínua.</w:t>
            </w:r>
          </w:p>
        </w:tc>
        <w:tc>
          <w:tcPr>
            <w:tcW w:w="859" w:type="pct"/>
          </w:tcPr>
          <w:p w14:paraId="0C146CEE" w14:textId="77777777" w:rsidR="00F51748" w:rsidRDefault="00F5174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="00D0678B"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 xml:space="preserve"> a 8,4%</w:t>
            </w:r>
            <w:r w:rsidR="00FE4AFA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 xml:space="preserve"> (solução hipertônica)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4E07D9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bolsas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com 250 ml ou ampolas de 10 ml.</w:t>
            </w:r>
          </w:p>
          <w:p w14:paraId="06A39D76" w14:textId="77777777" w:rsidR="004023D4" w:rsidRPr="007937DE" w:rsidRDefault="004023D4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 ml= 1 mEq de bicarbonato de sódio</w:t>
            </w:r>
          </w:p>
          <w:p w14:paraId="4DDC77C8" w14:textId="77777777" w:rsidR="00E94F04" w:rsidRPr="007937DE" w:rsidRDefault="00E94F04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1DEC0B2D" w14:textId="77777777" w:rsidR="00F51748" w:rsidRDefault="00F51748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2 </w:t>
            </w:r>
            <w:r w:rsidR="004E07D9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bolsa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s (500 ml)</w:t>
            </w:r>
            <w:r w:rsidR="00D0678B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, ou 50 ampolas de 10 ml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037576D2" w14:textId="77777777" w:rsidR="000728AB" w:rsidRPr="007937DE" w:rsidRDefault="000728A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115F57F2" w14:textId="77777777" w:rsidR="00545E65" w:rsidRPr="00C72805" w:rsidRDefault="00545E65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C72805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De maneira geral, tomar cuidado com o uso de soluções de bicarbonato a 8,4% ou 4,2% por veia periférica, uma vez que o extravasamento pode causar necrose local. </w:t>
            </w:r>
          </w:p>
          <w:p w14:paraId="11BD9D7B" w14:textId="77777777" w:rsidR="001149AD" w:rsidRPr="007937DE" w:rsidRDefault="001149AD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</w:p>
          <w:p w14:paraId="324F44DC" w14:textId="77777777" w:rsidR="00545E65" w:rsidRPr="003E3A5B" w:rsidRDefault="00545E65" w:rsidP="00961DB5">
            <w:pPr>
              <w:spacing w:line="276" w:lineRule="auto"/>
              <w:jc w:val="left"/>
              <w:rPr>
                <w:rFonts w:ascii="Calibri" w:hAnsi="Calibri"/>
                <w:color w:val="C00000"/>
                <w:sz w:val="22"/>
                <w:szCs w:val="22"/>
                <w:lang w:val="pt-BR"/>
              </w:rPr>
            </w:pPr>
            <w:r w:rsidRPr="003E3A5B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A solução de bicarbonato de sódio a 1,26% é isotônica</w:t>
            </w:r>
            <w:r w:rsidR="001149AD" w:rsidRPr="003E3A5B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(150 mEq/l)</w:t>
            </w:r>
            <w:r w:rsidRPr="003E3A5B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.</w:t>
            </w:r>
          </w:p>
          <w:p w14:paraId="26118936" w14:textId="77777777" w:rsidR="007904DB" w:rsidRPr="007937DE" w:rsidRDefault="00D0678B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Para obter </w:t>
            </w:r>
            <w:r w:rsidR="00567252"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1 litro de </w:t>
            </w:r>
            <w:r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uma solução isotônica </w:t>
            </w:r>
            <w:r w:rsidR="00F24DE2"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 </w:t>
            </w:r>
            <w:r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>1,26%</w:t>
            </w:r>
            <w:r w:rsidR="001149AD"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>,</w:t>
            </w:r>
            <w:r w:rsidR="00F24DE2"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>diluir 150 ml de bicarbonato a 8,4% em 850 ml de água destilada</w:t>
            </w:r>
            <w:r w:rsidR="00613BBB"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ou</w:t>
            </w:r>
            <w:r w:rsidR="001149AD"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de </w:t>
            </w:r>
            <w:r w:rsidR="000E2120"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>SG</w:t>
            </w:r>
            <w:r w:rsidR="00613BBB"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5%</w:t>
            </w:r>
            <w:r w:rsidRPr="00C72805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 </w:t>
            </w:r>
          </w:p>
        </w:tc>
      </w:tr>
      <w:tr w:rsidR="00F51748" w:rsidRPr="0089272C" w14:paraId="7B2F7026" w14:textId="77777777" w:rsidTr="00961DB5">
        <w:tc>
          <w:tcPr>
            <w:tcW w:w="766" w:type="pct"/>
            <w:shd w:val="clear" w:color="auto" w:fill="auto"/>
          </w:tcPr>
          <w:p w14:paraId="157B90F4" w14:textId="76BD6C32" w:rsidR="00F51748" w:rsidRPr="006B34C0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31" w:name="_Toc125971526"/>
            <w:bookmarkStart w:id="32" w:name="_Toc126746423"/>
            <w:bookmarkStart w:id="33" w:name="_Toc126746572"/>
            <w:bookmarkStart w:id="34" w:name="_Toc126750584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CARVÃO ATIVADO</w:t>
            </w:r>
            <w:bookmarkEnd w:id="31"/>
            <w:bookmarkEnd w:id="32"/>
            <w:bookmarkEnd w:id="33"/>
            <w:bookmarkEnd w:id="34"/>
            <w:r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CD3B6A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(CA)</w:t>
            </w:r>
            <w:r w:rsidR="00F51748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, pó</w:t>
            </w:r>
          </w:p>
        </w:tc>
        <w:tc>
          <w:tcPr>
            <w:tcW w:w="1039" w:type="pct"/>
            <w:shd w:val="clear" w:color="auto" w:fill="auto"/>
          </w:tcPr>
          <w:p w14:paraId="407499BC" w14:textId="77777777" w:rsidR="000C44F7" w:rsidRPr="006C1DF1" w:rsidRDefault="00CD3B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</w:pPr>
            <w:r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O CA p</w:t>
            </w:r>
            <w:r w:rsidR="000C44F7" w:rsidRPr="006C1DF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ode ser administrado em dose única ou doses múltiplas.</w:t>
            </w:r>
          </w:p>
          <w:p w14:paraId="543AAADF" w14:textId="77777777" w:rsidR="000C44F7" w:rsidRPr="006C1DF1" w:rsidRDefault="000C44F7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</w:pPr>
          </w:p>
          <w:p w14:paraId="69BA043A" w14:textId="77777777" w:rsidR="000E30EE" w:rsidRPr="002F53E9" w:rsidRDefault="009821D8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D</w:t>
            </w:r>
            <w:r w:rsidR="00F51748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ose </w:t>
            </w:r>
            <w:r w:rsidR="000E30EE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única</w:t>
            </w:r>
            <w:r w:rsidR="001361D9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de CA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 w:rsidRPr="002F53E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considerar o uso em exposições tóxicas </w:t>
            </w:r>
            <w:r w:rsidRPr="002F53E9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>potencialmente graves</w:t>
            </w:r>
            <w:r w:rsidR="000E30EE" w:rsidRPr="002F53E9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>, até 60 minutos da ingestão</w:t>
            </w:r>
            <w:r w:rsidR="000E30EE" w:rsidRPr="002F53E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,</w:t>
            </w:r>
            <w:r w:rsidR="00F51748" w:rsidRPr="002F53E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</w:t>
            </w:r>
            <w:r w:rsidR="000E30EE" w:rsidRPr="002F53E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para substâncias que são efetivamente adsorvidas pelo CA.</w:t>
            </w:r>
          </w:p>
          <w:p w14:paraId="20410F65" w14:textId="77777777" w:rsidR="00191634" w:rsidRPr="007937DE" w:rsidRDefault="00191634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7AF865DD" w14:textId="77777777" w:rsidR="00F51748" w:rsidRPr="007937DE" w:rsidRDefault="000E30EE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D</w:t>
            </w:r>
            <w:r w:rsidR="00F51748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oses múltiplas</w:t>
            </w:r>
            <w:r w:rsidR="000E2120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(DMCA)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indicado 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para aumento da eliminação de xenobióticos com circulação </w:t>
            </w:r>
            <w:r w:rsidR="009F05FD" w:rsidRPr="007937DE">
              <w:rPr>
                <w:rFonts w:ascii="Calibri" w:hAnsi="Calibri"/>
                <w:sz w:val="22"/>
                <w:szCs w:val="22"/>
                <w:lang w:val="pt-BR"/>
              </w:rPr>
              <w:t>entero-h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epática, como </w:t>
            </w:r>
            <w:r w:rsidR="00F51748"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dapsona, fenobarbital, carbamazepina, teofilina e quinina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  <w:r w:rsidR="00C518EC">
              <w:rPr>
                <w:rFonts w:ascii="Calibri" w:hAnsi="Calibri"/>
                <w:sz w:val="22"/>
                <w:szCs w:val="22"/>
                <w:lang w:val="pt-BR"/>
              </w:rPr>
              <w:t xml:space="preserve">Também pode ser considerado nas intoxicações por </w:t>
            </w:r>
            <w:r w:rsidR="00C518EC" w:rsidRPr="00C518EC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digoxina</w:t>
            </w:r>
            <w:r w:rsidR="00C518EC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2668B6C3" w14:textId="77777777" w:rsidR="00014F0F" w:rsidRPr="007937DE" w:rsidRDefault="00014F0F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</w:tcPr>
          <w:p w14:paraId="1A382AD6" w14:textId="77777777" w:rsidR="00B4782F" w:rsidRPr="007937DE" w:rsidRDefault="00B4782F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Adsorvente, utilizado para descontaminação gastrointestinal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77D01EF8" w14:textId="77777777" w:rsidR="00B4782F" w:rsidRDefault="00B4782F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0640F806" w14:textId="77777777" w:rsidR="00F51748" w:rsidRPr="007937DE" w:rsidRDefault="00F5174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Dose única</w:t>
            </w:r>
            <w:r w:rsidR="005A5366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(VO ou por SNG)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0577AF43" w14:textId="77777777" w:rsidR="00F51748" w:rsidRPr="007937DE" w:rsidRDefault="00F51748" w:rsidP="00961D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1</w:t>
            </w:r>
            <w:r w:rsidR="00E201EB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g/kg </w:t>
            </w:r>
            <w:r w:rsidR="00154387" w:rsidRPr="007937DE">
              <w:rPr>
                <w:rFonts w:ascii="Calibri" w:hAnsi="Calibri"/>
                <w:sz w:val="22"/>
                <w:szCs w:val="22"/>
                <w:lang w:val="pt-BR"/>
              </w:rPr>
              <w:t>(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máximo</w:t>
            </w:r>
            <w:r w:rsidR="00154387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de 50g)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5B8B4FD7" w14:textId="77777777" w:rsidR="00191634" w:rsidRPr="007937DE" w:rsidRDefault="00F51748" w:rsidP="00961D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 w:rsidR="00154387" w:rsidRPr="007937DE">
              <w:rPr>
                <w:rFonts w:ascii="Calibri" w:hAnsi="Calibri"/>
                <w:sz w:val="22"/>
                <w:szCs w:val="22"/>
                <w:lang w:val="pt-BR"/>
              </w:rPr>
              <w:t>50</w:t>
            </w:r>
            <w:r w:rsidR="00E201EB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154387" w:rsidRPr="007937DE">
              <w:rPr>
                <w:rFonts w:ascii="Calibri" w:hAnsi="Calibri"/>
                <w:sz w:val="22"/>
                <w:szCs w:val="22"/>
                <w:lang w:val="pt-BR"/>
              </w:rPr>
              <w:t>g.</w:t>
            </w:r>
          </w:p>
          <w:p w14:paraId="0A82D548" w14:textId="77777777" w:rsidR="002113CC" w:rsidRDefault="002113CC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</w:p>
          <w:p w14:paraId="583CED64" w14:textId="77777777" w:rsidR="00191634" w:rsidRPr="002113CC" w:rsidRDefault="008B27E3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CONTRAINDICADO EM PACIENTES COM:</w:t>
            </w:r>
          </w:p>
          <w:p w14:paraId="346C050C" w14:textId="77777777" w:rsidR="00191634" w:rsidRPr="003E3A5B" w:rsidRDefault="0027061C" w:rsidP="003E3A5B">
            <w:pPr>
              <w:pStyle w:val="PargrafodaLista"/>
              <w:numPr>
                <w:ilvl w:val="0"/>
                <w:numId w:val="93"/>
              </w:numPr>
              <w:spacing w:line="276" w:lineRule="auto"/>
              <w:ind w:left="360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3E3A5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D</w:t>
            </w:r>
            <w:r w:rsidR="00191634" w:rsidRPr="003E3A5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iminuição do nível de consciência</w:t>
            </w:r>
            <w:r w:rsidR="005B160B" w:rsidRPr="003E3A5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 pelo risco de aspiração</w:t>
            </w:r>
            <w:r w:rsidR="000E2120" w:rsidRPr="003E3A5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;</w:t>
            </w:r>
            <w:r w:rsidR="00191634" w:rsidRPr="003E3A5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  </w:t>
            </w:r>
          </w:p>
          <w:p w14:paraId="2F0A7088" w14:textId="77777777" w:rsidR="00191634" w:rsidRPr="003E3A5B" w:rsidRDefault="0027061C" w:rsidP="003E3A5B">
            <w:pPr>
              <w:pStyle w:val="PargrafodaLista"/>
              <w:numPr>
                <w:ilvl w:val="0"/>
                <w:numId w:val="93"/>
              </w:numPr>
              <w:spacing w:line="276" w:lineRule="auto"/>
              <w:ind w:left="360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3E3A5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I</w:t>
            </w:r>
            <w:r w:rsidR="00191634" w:rsidRPr="003E3A5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ngestão de </w:t>
            </w:r>
            <w:r w:rsidR="00525A60" w:rsidRPr="003E3A5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corrosivos</w:t>
            </w:r>
            <w:r w:rsidR="000E2120" w:rsidRPr="003E3A5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;</w:t>
            </w:r>
          </w:p>
          <w:p w14:paraId="6A49B568" w14:textId="113DDAC3" w:rsidR="00B85766" w:rsidRPr="003E3A5B" w:rsidRDefault="00B85766" w:rsidP="003E3A5B">
            <w:pPr>
              <w:pStyle w:val="PargrafodaLista"/>
              <w:numPr>
                <w:ilvl w:val="0"/>
                <w:numId w:val="93"/>
              </w:numPr>
              <w:spacing w:line="276" w:lineRule="auto"/>
              <w:ind w:left="360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I</w:t>
            </w:r>
            <w:r w:rsidRPr="00857E45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ngestão de hidrocarbonetos;</w:t>
            </w:r>
          </w:p>
          <w:p w14:paraId="27E0CFDE" w14:textId="100D336D" w:rsidR="00B85766" w:rsidRPr="003E3A5B" w:rsidRDefault="00B85766" w:rsidP="003E3A5B">
            <w:pPr>
              <w:pStyle w:val="PargrafodaLista"/>
              <w:numPr>
                <w:ilvl w:val="0"/>
                <w:numId w:val="93"/>
              </w:numPr>
              <w:spacing w:line="276" w:lineRule="auto"/>
              <w:ind w:left="360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3E3A5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I</w:t>
            </w:r>
            <w:r w:rsidRPr="00857E45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ngestão de substâncias </w:t>
            </w:r>
            <w:r w:rsidRPr="003E3A5B">
              <w:rPr>
                <w:rFonts w:ascii="Calibri" w:hAnsi="Calibri"/>
                <w:b/>
                <w:i/>
                <w:sz w:val="22"/>
                <w:szCs w:val="22"/>
                <w:u w:val="single"/>
                <w:lang w:val="pt-BR"/>
              </w:rPr>
              <w:t>não adsorvidas pelo CA</w:t>
            </w:r>
            <w:r w:rsidRPr="00857E45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, como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á</w:t>
            </w:r>
            <w:r w:rsidRPr="00857E45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lcoois tóxicos (etilenoglicol, metanol, dietilenoglicol e butilglicol), lítio, metais e seus sais (arsênio, chumbo, ferro e mercúrio)</w:t>
            </w: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.</w:t>
            </w:r>
          </w:p>
          <w:p w14:paraId="79C9FD8E" w14:textId="77777777" w:rsidR="00B85766" w:rsidRDefault="00B85766" w:rsidP="003E3A5B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65B280B2" w14:textId="77777777" w:rsidR="00F51748" w:rsidRPr="007937DE" w:rsidRDefault="000E2120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DMCA</w:t>
            </w:r>
            <w:r w:rsidR="00F51748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(a cada 4</w:t>
            </w:r>
            <w:r w:rsidR="00C518EC">
              <w:rPr>
                <w:rFonts w:ascii="Calibri" w:hAnsi="Calibri"/>
                <w:b/>
                <w:sz w:val="22"/>
                <w:szCs w:val="22"/>
                <w:lang w:val="pt-BR"/>
              </w:rPr>
              <w:t>-6</w:t>
            </w:r>
            <w:r w:rsidR="00F51748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h)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0C000E39" w14:textId="77777777" w:rsidR="00F51748" w:rsidRPr="007937DE" w:rsidRDefault="00F51748" w:rsidP="00961D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1</w:t>
            </w:r>
            <w:r w:rsidR="00E201EB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g/kg</w:t>
            </w:r>
            <w:r w:rsidR="00154387" w:rsidRPr="007937DE">
              <w:rPr>
                <w:rFonts w:ascii="Calibri" w:hAnsi="Calibri"/>
                <w:sz w:val="22"/>
                <w:szCs w:val="22"/>
                <w:lang w:val="pt-BR"/>
              </w:rPr>
              <w:t>/dose</w:t>
            </w:r>
            <w:r w:rsidR="009F79E2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9F79E2" w:rsidRPr="007937DE">
              <w:rPr>
                <w:rFonts w:ascii="Calibri" w:hAnsi="Calibri"/>
                <w:sz w:val="22"/>
                <w:szCs w:val="22"/>
                <w:lang w:val="pt-BR"/>
              </w:rPr>
              <w:t>(máximo de 50</w:t>
            </w:r>
            <w:r w:rsidR="00C518EC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9F79E2" w:rsidRPr="007937DE">
              <w:rPr>
                <w:rFonts w:ascii="Calibri" w:hAnsi="Calibri"/>
                <w:sz w:val="22"/>
                <w:szCs w:val="22"/>
                <w:lang w:val="pt-BR"/>
              </w:rPr>
              <w:t>g</w:t>
            </w:r>
            <w:r w:rsidR="009F79E2">
              <w:rPr>
                <w:rFonts w:ascii="Calibri" w:hAnsi="Calibri"/>
                <w:sz w:val="22"/>
                <w:szCs w:val="22"/>
                <w:lang w:val="pt-BR"/>
              </w:rPr>
              <w:t>/dose</w:t>
            </w:r>
            <w:r w:rsidR="009F79E2" w:rsidRPr="007937DE">
              <w:rPr>
                <w:rFonts w:ascii="Calibri" w:hAnsi="Calibri"/>
                <w:sz w:val="22"/>
                <w:szCs w:val="22"/>
                <w:lang w:val="pt-BR"/>
              </w:rPr>
              <w:t>).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792E6736" w14:textId="77777777" w:rsidR="00F51748" w:rsidRDefault="00F51748" w:rsidP="00961D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50</w:t>
            </w:r>
            <w:r w:rsidR="00E201EB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g</w:t>
            </w:r>
            <w:r w:rsidR="009821D8" w:rsidRPr="007937DE">
              <w:rPr>
                <w:rFonts w:ascii="Calibri" w:hAnsi="Calibri"/>
                <w:sz w:val="22"/>
                <w:szCs w:val="22"/>
                <w:lang w:val="pt-BR"/>
              </w:rPr>
              <w:t>/dose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043A7FE7" w14:textId="77777777" w:rsidR="002113CC" w:rsidRPr="007937DE" w:rsidRDefault="002113C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53496901" w14:textId="77777777" w:rsidR="00191634" w:rsidRPr="002113CC" w:rsidRDefault="008B27E3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CONTRAINDICADO EM PACIENTES COM:</w:t>
            </w:r>
          </w:p>
          <w:p w14:paraId="424E2C05" w14:textId="77777777" w:rsidR="00191634" w:rsidRPr="007937DE" w:rsidRDefault="0027061C" w:rsidP="00961DB5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O</w:t>
            </w:r>
            <w:r w:rsidR="00191634"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bstrução ou perfuração intestinal</w:t>
            </w:r>
            <w:r w:rsidR="000E2120"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;</w:t>
            </w:r>
          </w:p>
          <w:p w14:paraId="4BFBA1CB" w14:textId="77777777" w:rsidR="00191634" w:rsidRPr="007937DE" w:rsidRDefault="009F79E2" w:rsidP="00961DB5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Íl</w:t>
            </w:r>
            <w:r w:rsidR="00191634"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eo paralítico</w:t>
            </w:r>
            <w:r w:rsidR="000E2120"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;</w:t>
            </w:r>
          </w:p>
          <w:p w14:paraId="0F7ACAC1" w14:textId="77777777" w:rsidR="00191634" w:rsidRDefault="0027061C" w:rsidP="00961DB5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D</w:t>
            </w:r>
            <w:r w:rsidR="00191634"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epressão neurológica, quando não há proteção das vias aéreas</w:t>
            </w:r>
            <w:r w:rsidR="002113CC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;</w:t>
            </w:r>
          </w:p>
          <w:p w14:paraId="74C11811" w14:textId="77777777" w:rsidR="002113CC" w:rsidRPr="007937DE" w:rsidRDefault="0027061C" w:rsidP="00961DB5"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I</w:t>
            </w:r>
            <w:r w:rsidR="002113CC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nstabilidade hemodinâmica.</w:t>
            </w:r>
          </w:p>
        </w:tc>
        <w:tc>
          <w:tcPr>
            <w:tcW w:w="859" w:type="pct"/>
          </w:tcPr>
          <w:p w14:paraId="2EC528BB" w14:textId="77777777" w:rsidR="00154387" w:rsidRPr="007937DE" w:rsidRDefault="00F5174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  <w:r w:rsidR="00567252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pó,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manipulado em </w:t>
            </w:r>
            <w:r w:rsidR="009821D8" w:rsidRPr="007937DE">
              <w:rPr>
                <w:rFonts w:ascii="Calibri" w:hAnsi="Calibri"/>
                <w:sz w:val="22"/>
                <w:szCs w:val="22"/>
                <w:lang w:val="pt-BR"/>
              </w:rPr>
              <w:t>farmácias magistrais</w:t>
            </w:r>
            <w:r w:rsidR="00154387"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5CB85EC8" w14:textId="77777777" w:rsidR="00154387" w:rsidRPr="007937DE" w:rsidRDefault="00154387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</w:t>
            </w:r>
            <w:r w:rsidR="00F51748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presentações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recomendadas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2818F81F" w14:textId="77777777" w:rsidR="007B6097" w:rsidRPr="007937DE" w:rsidRDefault="00154387" w:rsidP="00961D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envelopes de 10 g</w:t>
            </w:r>
            <w:r w:rsidR="007B6097"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60F39274" w14:textId="77777777" w:rsidR="00F51748" w:rsidRPr="007937DE" w:rsidRDefault="00154387" w:rsidP="00961D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</w:t>
            </w:r>
            <w:r w:rsidR="00F51748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dolescentes e 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envelopes de </w:t>
            </w:r>
            <w:r w:rsidR="009A516E">
              <w:rPr>
                <w:rFonts w:ascii="Calibri" w:hAnsi="Calibri"/>
                <w:sz w:val="22"/>
                <w:szCs w:val="22"/>
                <w:lang w:val="pt-BR"/>
              </w:rPr>
              <w:t>2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5 g</w:t>
            </w:r>
            <w:r w:rsidR="00F51748"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7B465A22" w14:textId="77777777" w:rsidR="00836461" w:rsidRPr="007937DE" w:rsidRDefault="00836461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54FCBD11" w14:textId="77777777" w:rsidR="009C2F36" w:rsidRPr="007937DE" w:rsidRDefault="00F51748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 w:rsidR="001149AD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4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00 g </w:t>
            </w:r>
          </w:p>
          <w:p w14:paraId="7EEE129C" w14:textId="77777777" w:rsidR="00F51748" w:rsidRDefault="00F51748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(</w:t>
            </w:r>
            <w:r w:rsidR="009A516E">
              <w:rPr>
                <w:rFonts w:ascii="Calibri" w:hAnsi="Calibri"/>
                <w:b/>
                <w:sz w:val="22"/>
                <w:szCs w:val="22"/>
                <w:lang w:val="pt-BR"/>
              </w:rPr>
              <w:t>12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envelopes de </w:t>
            </w:r>
            <w:r w:rsidR="009A516E">
              <w:rPr>
                <w:rFonts w:ascii="Calibri" w:hAnsi="Calibri"/>
                <w:b/>
                <w:sz w:val="22"/>
                <w:szCs w:val="22"/>
                <w:lang w:val="pt-BR"/>
              </w:rPr>
              <w:t>2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5 g</w:t>
            </w:r>
            <w:r w:rsidR="001149AD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e 10 envelopes de 10 g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).</w:t>
            </w:r>
          </w:p>
          <w:p w14:paraId="0E4CD7EC" w14:textId="77777777" w:rsidR="007904DB" w:rsidRDefault="007904D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350425EB" w14:textId="478120FD" w:rsidR="007904DB" w:rsidRPr="007937DE" w:rsidRDefault="007904DB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5E2147" w:rsidRPr="00862C21" w14:paraId="2FD2DDE2" w14:textId="77777777" w:rsidTr="00961DB5">
        <w:tc>
          <w:tcPr>
            <w:tcW w:w="766" w:type="pct"/>
            <w:shd w:val="clear" w:color="auto" w:fill="auto"/>
          </w:tcPr>
          <w:p w14:paraId="65EE6274" w14:textId="60DB43F0" w:rsidR="005E2147" w:rsidRPr="00C3368D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bookmarkStart w:id="35" w:name="_Toc125971527"/>
            <w:bookmarkStart w:id="36" w:name="_Toc126746424"/>
            <w:bookmarkStart w:id="37" w:name="_Toc126746573"/>
            <w:bookmarkStart w:id="38" w:name="_Toc126750585"/>
            <w:r w:rsidRPr="00C3368D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CIPROEPTADINA</w:t>
            </w:r>
            <w:r w:rsidR="00C3368D" w:rsidRPr="00C3368D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 xml:space="preserve">, uso </w:t>
            </w:r>
            <w:r w:rsidR="00C3368D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 xml:space="preserve">por </w:t>
            </w:r>
            <w:r w:rsidR="00C3368D" w:rsidRPr="00C3368D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 xml:space="preserve">VO ou </w:t>
            </w:r>
            <w:r w:rsidR="00C3368D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SNG</w:t>
            </w:r>
            <w:bookmarkEnd w:id="35"/>
            <w:bookmarkEnd w:id="36"/>
            <w:bookmarkEnd w:id="37"/>
            <w:bookmarkEnd w:id="38"/>
          </w:p>
        </w:tc>
        <w:tc>
          <w:tcPr>
            <w:tcW w:w="1039" w:type="pct"/>
            <w:shd w:val="clear" w:color="auto" w:fill="auto"/>
          </w:tcPr>
          <w:p w14:paraId="0543F7B4" w14:textId="77777777" w:rsidR="00D14AE4" w:rsidRPr="007937DE" w:rsidRDefault="005E2147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Síndrome serotoninérgica</w:t>
            </w:r>
            <w:r w:rsidR="006A3070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, </w:t>
            </w:r>
            <w:r w:rsidR="006A307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geralmente desencadeada por </w:t>
            </w:r>
            <w:r w:rsidR="006A3070"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antidepressivos inibidores seletivos de receptação de serotonina, antidepressivos tricíclicos, </w:t>
            </w:r>
            <w:r w:rsidR="00764D5C"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inibidores da MAO e triptanos</w:t>
            </w:r>
            <w:r w:rsidR="00764D5C"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  <w:r w:rsidR="006A307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1B8255A9" w14:textId="77777777" w:rsidR="005E2147" w:rsidRPr="00B4782F" w:rsidRDefault="005E2147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</w:tcPr>
          <w:p w14:paraId="721D00BE" w14:textId="77777777" w:rsidR="00B4782F" w:rsidRDefault="00B4782F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B4782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Ciproeptadina é um antagonista dos receptores</w:t>
            </w:r>
            <w:r w:rsidR="008B27E3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8B27E3" w:rsidRPr="00B4782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serotonin</w:t>
            </w:r>
            <w:r w:rsidR="008B27E3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érgicos</w:t>
            </w:r>
            <w:r w:rsidRPr="00B4782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5-HT</w:t>
            </w:r>
            <w:r w:rsidRPr="00B4782F">
              <w:rPr>
                <w:rFonts w:ascii="Calibri" w:hAnsi="Calibri"/>
                <w:b/>
                <w:bCs/>
                <w:sz w:val="22"/>
                <w:szCs w:val="22"/>
                <w:vertAlign w:val="subscript"/>
                <w:lang w:val="pt-BR"/>
              </w:rPr>
              <w:t>1</w:t>
            </w:r>
            <w:r w:rsidRPr="00B4782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e 5-HT</w:t>
            </w:r>
            <w:r w:rsidRPr="00B4782F">
              <w:rPr>
                <w:rFonts w:ascii="Calibri" w:hAnsi="Calibri"/>
                <w:b/>
                <w:bCs/>
                <w:sz w:val="22"/>
                <w:szCs w:val="22"/>
                <w:vertAlign w:val="subscript"/>
                <w:lang w:val="pt-BR"/>
              </w:rPr>
              <w:t>2</w:t>
            </w:r>
            <w:r w:rsidR="00B241EF"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5DB27CBF" w14:textId="77777777" w:rsidR="00B241EF" w:rsidRPr="007937DE" w:rsidRDefault="00B241EF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236891D1" w14:textId="77777777" w:rsidR="001E016C" w:rsidRPr="007937DE" w:rsidRDefault="001E016C" w:rsidP="00961DB5">
            <w:pPr>
              <w:numPr>
                <w:ilvl w:val="0"/>
                <w:numId w:val="1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Crianças com idade ≤ 12 anos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0,25 mg/kg/dia (máximo 12 mg), </w:t>
            </w:r>
            <w:r w:rsidR="005A5366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VO ou por SNG,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dividido em 4 doses.</w:t>
            </w:r>
          </w:p>
          <w:p w14:paraId="7DAEBE03" w14:textId="77777777" w:rsidR="001E016C" w:rsidRPr="007937DE" w:rsidRDefault="001E016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33BC770C" w14:textId="77777777" w:rsidR="005E2147" w:rsidRPr="007937DE" w:rsidRDefault="00386E68" w:rsidP="00961DB5">
            <w:pPr>
              <w:numPr>
                <w:ilvl w:val="0"/>
                <w:numId w:val="1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Adultos e adolescentes </w:t>
            </w:r>
            <w:r w:rsidR="006A3070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com idade &gt; 13 anos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12 mg VO ou</w:t>
            </w:r>
            <w:r w:rsidR="00D14AE4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por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SNG seguido de 4-8 mg a cada 6h (máximo de 32 mg em 24h). </w:t>
            </w:r>
          </w:p>
          <w:p w14:paraId="602FC7DF" w14:textId="77777777" w:rsidR="00E94F04" w:rsidRPr="007937DE" w:rsidRDefault="00E94F04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24139EEA" w14:textId="77777777" w:rsidR="006A3070" w:rsidRPr="007937DE" w:rsidRDefault="006A3070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859" w:type="pct"/>
          </w:tcPr>
          <w:p w14:paraId="1FC435E0" w14:textId="77777777" w:rsidR="00764D5C" w:rsidRPr="007937DE" w:rsidRDefault="00764D5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No Brasil estão disponíveis somente apresentações para uso VO ou por SNG</w:t>
            </w:r>
            <w:r w:rsidR="00E94F04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associadas a polivitamínicos.</w:t>
            </w:r>
          </w:p>
          <w:p w14:paraId="45539510" w14:textId="77777777" w:rsidR="00E94F04" w:rsidRPr="007937DE" w:rsidRDefault="00E94F04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Comprimidos: 1 cp= 4 mg.</w:t>
            </w:r>
          </w:p>
          <w:p w14:paraId="328A539D" w14:textId="77777777" w:rsidR="00764D5C" w:rsidRPr="007937DE" w:rsidRDefault="00E94F04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Solução oral: 5 ml= 4 mg</w:t>
            </w:r>
            <w:r w:rsidR="00B241EF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(0,8 mg/ml)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7FB68ED7" w14:textId="77777777" w:rsidR="00B241EF" w:rsidRPr="007937DE" w:rsidRDefault="00B241EF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1992C206" w14:textId="77777777" w:rsidR="00764D5C" w:rsidRPr="007937DE" w:rsidRDefault="00764D5C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32 mg </w:t>
            </w:r>
          </w:p>
          <w:p w14:paraId="17B903C8" w14:textId="06588FC0" w:rsidR="007904DB" w:rsidRPr="007937DE" w:rsidRDefault="00764D5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(8 comprimidos de 4 mg).</w:t>
            </w:r>
          </w:p>
        </w:tc>
      </w:tr>
      <w:tr w:rsidR="000B156C" w:rsidRPr="00512BD6" w14:paraId="1E06D6E4" w14:textId="77777777" w:rsidTr="00961DB5">
        <w:tc>
          <w:tcPr>
            <w:tcW w:w="766" w:type="pct"/>
            <w:shd w:val="clear" w:color="auto" w:fill="auto"/>
          </w:tcPr>
          <w:p w14:paraId="4796F2DB" w14:textId="6D8406C1" w:rsidR="000B156C" w:rsidRPr="006B34C0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39" w:name="_Toc125971528"/>
            <w:bookmarkStart w:id="40" w:name="_Toc126746425"/>
            <w:bookmarkStart w:id="41" w:name="_Toc126746574"/>
            <w:bookmarkStart w:id="42" w:name="_Toc126750586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DANTROLENE</w:t>
            </w:r>
            <w:bookmarkEnd w:id="39"/>
            <w:bookmarkEnd w:id="40"/>
            <w:bookmarkEnd w:id="41"/>
            <w:bookmarkEnd w:id="42"/>
            <w:r w:rsidR="000B156C" w:rsidRPr="006C070E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,</w:t>
            </w:r>
            <w:r w:rsidR="000B156C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inj.</w:t>
            </w:r>
          </w:p>
        </w:tc>
        <w:tc>
          <w:tcPr>
            <w:tcW w:w="1039" w:type="pct"/>
            <w:shd w:val="clear" w:color="auto" w:fill="auto"/>
          </w:tcPr>
          <w:p w14:paraId="04EF878A" w14:textId="77777777" w:rsidR="00F779A7" w:rsidRPr="007937DE" w:rsidRDefault="00F779A7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C1DF1"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  <w:t>Hipertermia  maligna</w:t>
            </w:r>
            <w:r w:rsidRPr="007937DE">
              <w:rPr>
                <w:rFonts w:ascii="Calibri" w:hAnsi="Calibri"/>
                <w:color w:val="C00000"/>
                <w:sz w:val="22"/>
                <w:szCs w:val="22"/>
                <w:lang w:val="pt-BR"/>
              </w:rPr>
              <w:t>,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geralmente desencadeada por 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anestésicos inalatórios halogenados e/ou succinilcolina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.  </w:t>
            </w:r>
          </w:p>
          <w:p w14:paraId="742F73A6" w14:textId="77777777" w:rsidR="000E2120" w:rsidRPr="007937DE" w:rsidRDefault="000E2120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5B74A230" w14:textId="77777777" w:rsidR="000B156C" w:rsidRPr="007937DE" w:rsidRDefault="000B156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C1DF1"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  <w:t>Síndrome neuroléptica maligna</w:t>
            </w:r>
            <w:r w:rsidR="00401EDA"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  <w:t xml:space="preserve"> (SNM)</w:t>
            </w:r>
            <w:r w:rsidR="00525A60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,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="00525A60" w:rsidRPr="007937DE">
              <w:rPr>
                <w:rFonts w:ascii="Calibri" w:hAnsi="Calibri"/>
                <w:sz w:val="22"/>
                <w:szCs w:val="22"/>
                <w:lang w:val="pt-BR"/>
              </w:rPr>
              <w:t>geralmente desencadeada por</w:t>
            </w:r>
            <w:r w:rsidR="001C3A0A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1C3A0A"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antipsicóticos </w:t>
            </w:r>
            <w:r w:rsidR="00525A60"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bloqueadores dopaminérgicos como butirofenonas e fenotiazínicos</w:t>
            </w:r>
            <w:r w:rsidR="00401EDA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t-BR"/>
              </w:rPr>
              <w:t xml:space="preserve">. </w:t>
            </w:r>
            <w:r w:rsidR="00401EDA" w:rsidRPr="003E3A5B"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  <w:lang w:val="pt-BR"/>
              </w:rPr>
              <w:t xml:space="preserve">O dantrolene está indicado na SNM apenas nos pacientes </w:t>
            </w:r>
            <w:r w:rsidR="008E1AAC" w:rsidRPr="003E3A5B"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  <w:lang w:val="pt-BR"/>
              </w:rPr>
              <w:t>que apresentam rigidez muscular intensa e rabdomiólise</w:t>
            </w:r>
            <w:r w:rsidR="008E1AAC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t-BR"/>
              </w:rPr>
              <w:t>.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36" w:type="pct"/>
          </w:tcPr>
          <w:p w14:paraId="247EE115" w14:textId="77777777" w:rsidR="00C319BA" w:rsidRDefault="001470F9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1470F9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Dantrolene sódico é um </w:t>
            </w:r>
            <w:r w:rsidR="00540F7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potente </w:t>
            </w:r>
            <w:r w:rsidRPr="001470F9">
              <w:rPr>
                <w:rFonts w:ascii="Calibri" w:hAnsi="Calibri"/>
                <w:b/>
                <w:sz w:val="22"/>
                <w:szCs w:val="22"/>
                <w:lang w:val="pt-BR"/>
              </w:rPr>
              <w:t>relaxante muscula</w:t>
            </w:r>
            <w:r w:rsidR="00C319BA">
              <w:rPr>
                <w:rFonts w:ascii="Calibri" w:hAnsi="Calibri"/>
                <w:b/>
                <w:sz w:val="22"/>
                <w:szCs w:val="22"/>
                <w:lang w:val="pt-BR"/>
              </w:rPr>
              <w:t>r</w:t>
            </w:r>
            <w:r w:rsidR="00540F7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="00A61A02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que não causa </w:t>
            </w:r>
            <w:r w:rsidR="00C319BA">
              <w:rPr>
                <w:rFonts w:ascii="Calibri" w:hAnsi="Calibri"/>
                <w:b/>
                <w:sz w:val="22"/>
                <w:szCs w:val="22"/>
                <w:lang w:val="pt-BR"/>
              </w:rPr>
              <w:t>paralisia</w:t>
            </w:r>
            <w:r w:rsidR="00540F7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completa</w:t>
            </w:r>
            <w:r w:rsidR="00C319B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. </w:t>
            </w:r>
            <w:r w:rsidR="00540F78">
              <w:rPr>
                <w:rFonts w:ascii="Calibri" w:hAnsi="Calibri"/>
                <w:b/>
                <w:sz w:val="22"/>
                <w:szCs w:val="22"/>
                <w:lang w:val="pt-BR"/>
              </w:rPr>
              <w:t>Inibe a ligação d</w:t>
            </w:r>
            <w:r w:rsidR="00C319B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o </w:t>
            </w:r>
            <w:r w:rsidRPr="001470F9">
              <w:rPr>
                <w:rFonts w:ascii="Calibri" w:hAnsi="Calibri"/>
                <w:b/>
                <w:sz w:val="22"/>
                <w:szCs w:val="22"/>
                <w:lang w:val="pt-BR"/>
              </w:rPr>
              <w:t>receptor de rianodina</w:t>
            </w:r>
            <w:r w:rsidR="00C319B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no retículo sarcoplasmático da célula muscular esquelética</w:t>
            </w:r>
            <w:r w:rsidR="00540F7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, reduzindo a concentração de cálcio livre </w:t>
            </w:r>
            <w:r w:rsidR="007F3961">
              <w:rPr>
                <w:rFonts w:ascii="Calibri" w:hAnsi="Calibri"/>
                <w:b/>
                <w:sz w:val="22"/>
                <w:szCs w:val="22"/>
                <w:lang w:val="pt-BR"/>
              </w:rPr>
              <w:t>no interior da célula</w:t>
            </w:r>
            <w:r w:rsidR="00540F7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. </w:t>
            </w:r>
          </w:p>
          <w:p w14:paraId="328DADB5" w14:textId="517A1661" w:rsidR="00C319BA" w:rsidRDefault="00C319B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</w:p>
          <w:p w14:paraId="004DD2BF" w14:textId="77777777" w:rsidR="000B156C" w:rsidRPr="00B65B21" w:rsidRDefault="000B156C" w:rsidP="00961DB5">
            <w:pPr>
              <w:pStyle w:val="PargrafodaLista"/>
              <w:numPr>
                <w:ilvl w:val="0"/>
                <w:numId w:val="5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B65B21">
              <w:rPr>
                <w:rFonts w:ascii="Calibri" w:hAnsi="Calibri"/>
                <w:b/>
                <w:sz w:val="22"/>
                <w:szCs w:val="22"/>
                <w:lang w:val="pt-BR"/>
              </w:rPr>
              <w:t>Dose inicial</w:t>
            </w:r>
            <w:r w:rsidRPr="00B65B21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 w:rsidR="005B160B" w:rsidRPr="00B65B21">
              <w:rPr>
                <w:rFonts w:ascii="Calibri" w:hAnsi="Calibri"/>
                <w:sz w:val="22"/>
                <w:szCs w:val="22"/>
                <w:lang w:val="pt-BR"/>
              </w:rPr>
              <w:t>2</w:t>
            </w:r>
            <w:r w:rsidRPr="00B65B21">
              <w:rPr>
                <w:rFonts w:ascii="Calibri" w:hAnsi="Calibri"/>
                <w:sz w:val="22"/>
                <w:szCs w:val="22"/>
                <w:lang w:val="pt-BR"/>
              </w:rPr>
              <w:t xml:space="preserve"> a 3 mg/kg IV em </w:t>
            </w:r>
            <w:r w:rsidR="00BE6276" w:rsidRPr="00B65B21">
              <w:rPr>
                <w:rFonts w:ascii="Calibri" w:hAnsi="Calibri"/>
                <w:i/>
                <w:sz w:val="22"/>
                <w:szCs w:val="22"/>
                <w:lang w:val="pt-BR"/>
              </w:rPr>
              <w:t>bolus</w:t>
            </w:r>
            <w:r w:rsidRPr="00B65B21">
              <w:rPr>
                <w:rFonts w:ascii="Calibri" w:hAnsi="Calibri"/>
                <w:sz w:val="22"/>
                <w:szCs w:val="22"/>
                <w:lang w:val="pt-BR"/>
              </w:rPr>
              <w:t>, repetir a cada 15 min</w:t>
            </w:r>
            <w:r w:rsidR="00E201EB" w:rsidRPr="00B65B21">
              <w:rPr>
                <w:rFonts w:ascii="Calibri" w:hAnsi="Calibri"/>
                <w:sz w:val="22"/>
                <w:szCs w:val="22"/>
                <w:lang w:val="pt-BR"/>
              </w:rPr>
              <w:t>utos</w:t>
            </w:r>
            <w:r w:rsidRPr="00B65B21">
              <w:rPr>
                <w:rFonts w:ascii="Calibri" w:hAnsi="Calibri"/>
                <w:sz w:val="22"/>
                <w:szCs w:val="22"/>
                <w:lang w:val="pt-BR"/>
              </w:rPr>
              <w:t xml:space="preserve"> até melhora do quadro ou uma dose total de 10 mg/kg</w:t>
            </w:r>
            <w:r w:rsidR="001C3A0A" w:rsidRPr="00B65B21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449AA2A2" w14:textId="66459365" w:rsidR="005B160B" w:rsidRPr="007937DE" w:rsidRDefault="005B160B" w:rsidP="00961DB5">
            <w:pPr>
              <w:numPr>
                <w:ilvl w:val="0"/>
                <w:numId w:val="10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Se não ocorrer uma resposta favorável </w:t>
            </w:r>
            <w:r w:rsidR="00F779A7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ou ocorrer recorrência dos sintomas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repetir a dose de 1 mg/kg a cada 15 min</w:t>
            </w:r>
            <w:r w:rsidR="00E201EB" w:rsidRPr="007937DE">
              <w:rPr>
                <w:rFonts w:ascii="Calibri" w:hAnsi="Calibri"/>
                <w:sz w:val="22"/>
                <w:szCs w:val="22"/>
                <w:lang w:val="pt-BR"/>
              </w:rPr>
              <w:t>utos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até melhora do quadro ou uma dose total de 10 mg/kg em 24</w:t>
            </w:r>
            <w:r w:rsidR="00726599">
              <w:rPr>
                <w:rFonts w:ascii="Calibri" w:hAnsi="Calibri"/>
                <w:sz w:val="22"/>
                <w:szCs w:val="22"/>
                <w:lang w:val="pt-BR"/>
              </w:rPr>
              <w:t>h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7B5DF1FF" w14:textId="77777777" w:rsidR="000B156C" w:rsidRPr="007937DE" w:rsidRDefault="00F779A7" w:rsidP="00961DB5"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A dose média requerida para reversão dos sintomas na hipertermia maligna é de 2,5 mg/kg.</w:t>
            </w:r>
          </w:p>
        </w:tc>
        <w:tc>
          <w:tcPr>
            <w:tcW w:w="859" w:type="pct"/>
          </w:tcPr>
          <w:p w14:paraId="5E19C75C" w14:textId="77777777" w:rsidR="000B156C" w:rsidRPr="007937DE" w:rsidRDefault="000B156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u w:val="single"/>
                <w:lang w:val="pt-BR"/>
              </w:rPr>
              <w:t>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frascos de 20 mg (liofilizado) e frascos de 60 ml de solução diluente (água destilada).</w:t>
            </w:r>
          </w:p>
          <w:p w14:paraId="1E01FADA" w14:textId="77777777" w:rsidR="00CE173C" w:rsidRPr="007937DE" w:rsidRDefault="00CE173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SG 5%, SF</w:t>
            </w:r>
            <w:r w:rsidR="005977ED" w:rsidRPr="007937DE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0,9%</w:t>
            </w:r>
            <w:r w:rsidRPr="007937DE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e outras soluções são incompatíveis para reconstituição do liofilizado de dantrolene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4D013C49" w14:textId="77777777" w:rsidR="00D802BE" w:rsidRDefault="00D802BE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Deve estar disponível em qualquer serviço hospitalar onde é realizada anestesia geral.</w:t>
            </w:r>
          </w:p>
          <w:p w14:paraId="4372941C" w14:textId="77777777" w:rsidR="00D802BE" w:rsidRDefault="00D802BE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07C4A551" w14:textId="202E6F83" w:rsidR="001C3A0A" w:rsidRPr="007937DE" w:rsidRDefault="000B156C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36 frascos.</w:t>
            </w:r>
          </w:p>
        </w:tc>
      </w:tr>
      <w:tr w:rsidR="000B156C" w:rsidRPr="00512BD6" w14:paraId="362DCD3B" w14:textId="77777777" w:rsidTr="00961DB5">
        <w:tc>
          <w:tcPr>
            <w:tcW w:w="766" w:type="pct"/>
            <w:shd w:val="clear" w:color="auto" w:fill="auto"/>
          </w:tcPr>
          <w:p w14:paraId="076EA0BA" w14:textId="4D581BD0" w:rsidR="000B156C" w:rsidRPr="006B34C0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3" w:name="_Toc125971529"/>
            <w:bookmarkStart w:id="44" w:name="_Toc126746426"/>
            <w:bookmarkStart w:id="45" w:name="_Toc126746575"/>
            <w:bookmarkStart w:id="46" w:name="_Toc126750587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DESFEROXAMINA</w:t>
            </w:r>
            <w:bookmarkEnd w:id="43"/>
            <w:bookmarkEnd w:id="44"/>
            <w:bookmarkEnd w:id="45"/>
            <w:bookmarkEnd w:id="46"/>
            <w:r w:rsidRPr="006B34C0">
              <w:rPr>
                <w:rStyle w:val="Ttulo2Char"/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8B3DAA" w:rsidRPr="006B34C0">
              <w:rPr>
                <w:rFonts w:ascii="Calibri" w:hAnsi="Calibri" w:cs="Calibri"/>
                <w:b/>
                <w:sz w:val="22"/>
                <w:szCs w:val="22"/>
              </w:rPr>
              <w:t>(DFO)</w:t>
            </w:r>
            <w:r w:rsidR="000B156C" w:rsidRPr="006B34C0">
              <w:rPr>
                <w:rFonts w:ascii="Calibri" w:hAnsi="Calibri" w:cs="Calibri"/>
                <w:b/>
                <w:sz w:val="22"/>
                <w:szCs w:val="22"/>
              </w:rPr>
              <w:t>, inj.</w:t>
            </w:r>
          </w:p>
        </w:tc>
        <w:tc>
          <w:tcPr>
            <w:tcW w:w="1039" w:type="pct"/>
            <w:shd w:val="clear" w:color="auto" w:fill="auto"/>
          </w:tcPr>
          <w:p w14:paraId="3A18C661" w14:textId="77777777" w:rsidR="008D2596" w:rsidRPr="007937DE" w:rsidRDefault="002E3EA0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Intoxicações </w:t>
            </w:r>
            <w:r w:rsidR="00D651A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agudas 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graves por s</w:t>
            </w:r>
            <w:r w:rsidR="000B156C"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ais de ferro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  <w:r w:rsidR="008B3DAA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637F43AA" w14:textId="77777777" w:rsidR="00C6412A" w:rsidRPr="007937DE" w:rsidRDefault="00C6412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2453B517" w14:textId="77777777" w:rsidR="007F3961" w:rsidRDefault="00CA0F2B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Manifestações e alterações laboratoriais </w:t>
            </w:r>
            <w:r w:rsidR="003C3C54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associadas à</w:t>
            </w:r>
            <w:r w:rsidR="008B3DAA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AC2CC6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gravidade</w:t>
            </w:r>
            <w:r w:rsidR="0056354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que indicam uso da DFO</w:t>
            </w:r>
            <w:r w:rsidR="00AC2CC6" w:rsidRPr="007937DE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3A56EF26" w14:textId="77777777" w:rsidR="007F3961" w:rsidRPr="007F3961" w:rsidRDefault="00CA0F2B" w:rsidP="00961DB5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7F3961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hipotensão/</w:t>
            </w:r>
            <w:r w:rsidR="008B3DAA" w:rsidRPr="007F3961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choque, </w:t>
            </w:r>
            <w:r w:rsidR="009A66C7" w:rsidRPr="007F3961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letargia/</w:t>
            </w:r>
            <w:r w:rsidR="008B3DAA" w:rsidRPr="007F3961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coma</w:t>
            </w:r>
            <w:r w:rsidR="00A77DBC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;</w:t>
            </w:r>
            <w:r w:rsidR="000D7714" w:rsidRPr="007F3961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</w:t>
            </w:r>
          </w:p>
          <w:p w14:paraId="34215CB2" w14:textId="77777777" w:rsidR="007F3961" w:rsidRPr="007F3961" w:rsidRDefault="000D7714" w:rsidP="00961DB5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7F3961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sangramento digestivo, coagulopatia</w:t>
            </w:r>
            <w:r w:rsidR="00A77DBC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;</w:t>
            </w:r>
          </w:p>
          <w:p w14:paraId="7EEDF4F9" w14:textId="77777777" w:rsidR="000B156C" w:rsidRPr="007F3961" w:rsidRDefault="008B3DAA" w:rsidP="00961DB5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7F3961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acidose metabólica</w:t>
            </w:r>
            <w:r w:rsidRPr="007F3961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  <w:r w:rsidR="006928CB" w:rsidRPr="007F3961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09DBEC45" w14:textId="77777777" w:rsidR="00563542" w:rsidRDefault="00563542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5503D7A0" w14:textId="77777777" w:rsidR="00563542" w:rsidRPr="007F3961" w:rsidRDefault="00563542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  <w:r w:rsidRPr="00563542">
              <w:rPr>
                <w:rFonts w:ascii="Calibri" w:hAnsi="Calibri"/>
                <w:b/>
                <w:sz w:val="22"/>
                <w:szCs w:val="22"/>
                <w:lang w:val="pt-BR"/>
              </w:rPr>
              <w:t>Indicado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,</w:t>
            </w:r>
            <w:r w:rsidRPr="00563542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independente das manifestações clínicas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,</w:t>
            </w:r>
            <w:r w:rsidRPr="00563542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se os níveis séricos de ferro forem </w:t>
            </w:r>
            <w:r w:rsidRPr="007F3961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&gt; 500 m</w:t>
            </w:r>
            <w:r w:rsidR="009A66C7" w:rsidRPr="007F3961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c</w:t>
            </w:r>
            <w:r w:rsidRPr="007F3961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g/dl</w:t>
            </w:r>
          </w:p>
          <w:p w14:paraId="0F73F6AF" w14:textId="77777777" w:rsidR="00563542" w:rsidRPr="007937DE" w:rsidRDefault="00563542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</w:tcPr>
          <w:p w14:paraId="6ECB5E14" w14:textId="77777777" w:rsidR="00B65B21" w:rsidRDefault="00D651AE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D651A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DFO é eficiente na quelação do</w:t>
            </w:r>
            <w:r w:rsidR="00BF50F1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9A66C7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Fe</w:t>
            </w:r>
            <w:r w:rsidR="009A66C7" w:rsidRPr="009A66C7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>+++</w:t>
            </w:r>
            <w:r w:rsidR="00401EDA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não ligado à transferrina (antes denominado </w:t>
            </w:r>
            <w:r w:rsidR="009A66C7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ferro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livre)</w:t>
            </w:r>
            <w:r w:rsidR="00F15025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, e </w:t>
            </w:r>
            <w:r w:rsidR="0056354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do </w:t>
            </w:r>
            <w:r w:rsidR="009A66C7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Fe</w:t>
            </w:r>
            <w:r w:rsidR="009A66C7" w:rsidRPr="009A66C7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>+++</w:t>
            </w:r>
            <w:r w:rsidR="009A66C7" w:rsidRPr="00D651A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F15025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em </w:t>
            </w:r>
            <w:r w:rsidR="00C518EC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trânsito</w:t>
            </w:r>
            <w:r w:rsidR="00F15025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entre a transferrina e a ferritina</w:t>
            </w:r>
            <w:r w:rsidR="009A66C7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, formando o complexo ferrioxamine</w:t>
            </w:r>
            <w:r w:rsidR="00F15025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. </w:t>
            </w:r>
          </w:p>
          <w:p w14:paraId="0AE5228D" w14:textId="77777777" w:rsidR="00F15025" w:rsidRDefault="00F15025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Embora a afinidade de ligação da DFO pelo </w:t>
            </w:r>
            <w:r w:rsidR="009A66C7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Fe</w:t>
            </w:r>
            <w:r w:rsidR="009A66C7" w:rsidRPr="009A66C7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>+++</w:t>
            </w:r>
            <w:r w:rsidR="00401EDA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seja maior que a afinidade de ligação do </w:t>
            </w:r>
            <w:r w:rsidR="009A66C7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Fe</w:t>
            </w:r>
            <w:r w:rsidR="009A66C7" w:rsidRPr="009A66C7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>+++</w:t>
            </w:r>
            <w:r w:rsidR="009A66C7" w:rsidRPr="00D651A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pela transferrina, a lenta farmacocinética da DFO impede uma apreciável remoção do </w:t>
            </w:r>
            <w:r w:rsidR="009A66C7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Fe</w:t>
            </w:r>
            <w:r w:rsidR="009A66C7" w:rsidRPr="009A66C7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>+++</w:t>
            </w:r>
            <w:r w:rsidR="009A66C7" w:rsidRPr="00D651A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ligado à transferrina. </w:t>
            </w:r>
          </w:p>
          <w:p w14:paraId="136B2350" w14:textId="77777777" w:rsidR="00D651AE" w:rsidRPr="00F15025" w:rsidRDefault="00F15025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Estudos </w:t>
            </w:r>
            <w:r w:rsidRPr="00563542">
              <w:rPr>
                <w:rFonts w:ascii="Calibri" w:hAnsi="Calibri"/>
                <w:b/>
                <w:bCs/>
                <w:i/>
                <w:sz w:val="22"/>
                <w:szCs w:val="22"/>
                <w:lang w:val="pt-BR"/>
              </w:rPr>
              <w:t>in vitro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indicam que a DFO inativa </w:t>
            </w:r>
            <w:r w:rsidR="00BF50F1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e quela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</w:t>
            </w:r>
            <w:r w:rsidRPr="00F15025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BF50F1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ferro </w:t>
            </w:r>
            <w:r w:rsidRPr="00F15025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livre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BF50F1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citoplasmático,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lisossomal</w:t>
            </w:r>
            <w:r w:rsidR="0056354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, </w:t>
            </w:r>
            <w:r w:rsidRPr="00F15025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e </w:t>
            </w:r>
            <w:r w:rsidR="00BF50F1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possivelmente </w:t>
            </w:r>
            <w:r w:rsidRPr="00F15025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mitocondrial, limitando </w:t>
            </w:r>
            <w:r w:rsidR="00BF50F1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 dano celular.</w:t>
            </w:r>
          </w:p>
          <w:p w14:paraId="10366E5C" w14:textId="77777777" w:rsidR="00F15025" w:rsidRPr="00F15025" w:rsidRDefault="00F15025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13347F0A" w14:textId="77777777" w:rsidR="00DC309E" w:rsidRPr="007937DE" w:rsidRDefault="00DC309E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Dose inicial, adultos e 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5FFA5E46" w14:textId="77777777" w:rsidR="00BF50F1" w:rsidRDefault="00BF50F1" w:rsidP="00961DB5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BF50F1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 inici</w:t>
            </w:r>
            <w:r w:rsidR="003D21A1" w:rsidRPr="00BF50F1">
              <w:rPr>
                <w:rFonts w:ascii="Calibri" w:hAnsi="Calibri"/>
                <w:sz w:val="22"/>
                <w:szCs w:val="22"/>
                <w:lang w:val="pt-BR"/>
              </w:rPr>
              <w:t xml:space="preserve">ar com </w:t>
            </w:r>
            <w:r w:rsidR="000B156C" w:rsidRPr="00BF50F1">
              <w:rPr>
                <w:rFonts w:ascii="Calibri" w:hAnsi="Calibri"/>
                <w:sz w:val="22"/>
                <w:szCs w:val="22"/>
                <w:lang w:val="pt-BR"/>
              </w:rPr>
              <w:t xml:space="preserve">infusão contínua </w:t>
            </w:r>
            <w:r w:rsidR="003D21A1" w:rsidRPr="00BF50F1">
              <w:rPr>
                <w:rFonts w:ascii="Calibri" w:hAnsi="Calibri"/>
                <w:sz w:val="22"/>
                <w:szCs w:val="22"/>
                <w:lang w:val="pt-BR"/>
              </w:rPr>
              <w:t xml:space="preserve">na dose </w:t>
            </w:r>
            <w:r w:rsidR="000B156C" w:rsidRPr="00BF50F1">
              <w:rPr>
                <w:rFonts w:ascii="Calibri" w:hAnsi="Calibri"/>
                <w:sz w:val="22"/>
                <w:szCs w:val="22"/>
                <w:lang w:val="pt-BR"/>
              </w:rPr>
              <w:t>de 5 mg</w:t>
            </w:r>
            <w:r w:rsidR="003D21A1" w:rsidRPr="00BF50F1">
              <w:rPr>
                <w:rFonts w:ascii="Calibri" w:hAnsi="Calibri"/>
                <w:sz w:val="22"/>
                <w:szCs w:val="22"/>
                <w:lang w:val="pt-BR"/>
              </w:rPr>
              <w:t>/kg, aumentando</w:t>
            </w:r>
            <w:r w:rsidR="008B3DAA" w:rsidRPr="00BF50F1">
              <w:rPr>
                <w:rFonts w:ascii="Calibri" w:hAnsi="Calibri"/>
                <w:sz w:val="22"/>
                <w:szCs w:val="22"/>
                <w:lang w:val="pt-BR"/>
              </w:rPr>
              <w:t>, após 15 minutos</w:t>
            </w:r>
            <w:r w:rsidR="005A7302" w:rsidRPr="00BF50F1">
              <w:rPr>
                <w:rFonts w:ascii="Calibri" w:hAnsi="Calibri"/>
                <w:sz w:val="22"/>
                <w:szCs w:val="22"/>
                <w:lang w:val="pt-BR"/>
              </w:rPr>
              <w:t xml:space="preserve"> de infusão</w:t>
            </w:r>
            <w:r w:rsidR="008B3DAA" w:rsidRPr="00BF50F1">
              <w:rPr>
                <w:rFonts w:ascii="Calibri" w:hAnsi="Calibri"/>
                <w:sz w:val="22"/>
                <w:szCs w:val="22"/>
                <w:lang w:val="pt-BR"/>
              </w:rPr>
              <w:t xml:space="preserve">, caso haja tolerância e não apresente hipotensão, para </w:t>
            </w:r>
            <w:r w:rsidR="000B156C" w:rsidRPr="00BF50F1">
              <w:rPr>
                <w:rFonts w:ascii="Calibri" w:hAnsi="Calibri"/>
                <w:sz w:val="22"/>
                <w:szCs w:val="22"/>
                <w:lang w:val="pt-BR"/>
              </w:rPr>
              <w:t>15 mg/kg/h</w:t>
            </w:r>
            <w:r w:rsidR="003D21A1" w:rsidRPr="00BF50F1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22FF93C0" w14:textId="77777777" w:rsidR="000B156C" w:rsidRDefault="00BF50F1" w:rsidP="00961DB5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BF50F1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3D21A1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após a dose inicial ter atingido 1000 mg, as doses subsequentes devem ser ajustadas para não ultrapassar a dose </w:t>
            </w:r>
            <w:r w:rsidR="000B156C" w:rsidRPr="007937DE">
              <w:rPr>
                <w:rFonts w:ascii="Calibri" w:hAnsi="Calibri"/>
                <w:sz w:val="22"/>
                <w:szCs w:val="22"/>
                <w:lang w:val="pt-BR"/>
              </w:rPr>
              <w:t>máxim</w:t>
            </w:r>
            <w:r w:rsidR="003D21A1" w:rsidRPr="007937DE">
              <w:rPr>
                <w:rFonts w:ascii="Calibri" w:hAnsi="Calibri"/>
                <w:sz w:val="22"/>
                <w:szCs w:val="22"/>
                <w:lang w:val="pt-BR"/>
              </w:rPr>
              <w:t>a</w:t>
            </w:r>
            <w:r w:rsidR="000B156C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d</w:t>
            </w:r>
            <w:r w:rsidR="003D21A1" w:rsidRPr="007937DE">
              <w:rPr>
                <w:rFonts w:ascii="Calibri" w:hAnsi="Calibri"/>
                <w:sz w:val="22"/>
                <w:szCs w:val="22"/>
                <w:lang w:val="pt-BR"/>
              </w:rPr>
              <w:t>iária de</w:t>
            </w:r>
            <w:r w:rsidR="000B156C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6 a 8 g/dia</w:t>
            </w:r>
            <w:r w:rsidR="00A47504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(3-4 mg/kg/h)</w:t>
            </w:r>
            <w:r w:rsidR="00274E57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durante as próximas 2</w:t>
            </w:r>
            <w:r w:rsidR="000D7714">
              <w:rPr>
                <w:rFonts w:ascii="Calibri" w:hAnsi="Calibri"/>
                <w:sz w:val="22"/>
                <w:szCs w:val="22"/>
                <w:lang w:val="pt-BR"/>
              </w:rPr>
              <w:t>3</w:t>
            </w:r>
            <w:r w:rsidR="007F3961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274E57" w:rsidRPr="007937DE">
              <w:rPr>
                <w:rFonts w:ascii="Calibri" w:hAnsi="Calibri"/>
                <w:sz w:val="22"/>
                <w:szCs w:val="22"/>
                <w:lang w:val="pt-BR"/>
              </w:rPr>
              <w:t>h</w:t>
            </w:r>
            <w:r w:rsidR="000B156C"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0C1E334D" w14:textId="3078A8D1" w:rsidR="00563542" w:rsidRPr="002C2908" w:rsidRDefault="00563542" w:rsidP="00961DB5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3C3C54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O tratamento com DFO deve ser limitado à duração de 24h, com objetivo </w:t>
            </w:r>
            <w:r w:rsidR="000D7714" w:rsidRPr="003C3C54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de diminuir os riscos de toxicidade pulmonar (síndrome do desconforto respiratório agudo). </w:t>
            </w:r>
          </w:p>
          <w:p w14:paraId="41D3EAF1" w14:textId="53B97083" w:rsidR="002C2908" w:rsidRPr="00B65B21" w:rsidRDefault="002C2908" w:rsidP="002C2908">
            <w:pPr>
              <w:pStyle w:val="PargrafodaLista"/>
              <w:spacing w:line="276" w:lineRule="auto"/>
              <w:ind w:left="360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859" w:type="pct"/>
          </w:tcPr>
          <w:p w14:paraId="79E8F03F" w14:textId="77777777" w:rsidR="000B156C" w:rsidRPr="007937DE" w:rsidRDefault="000B156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u w:val="single"/>
                <w:lang w:val="pt-BR"/>
              </w:rPr>
              <w:t>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B142D0" w:rsidRPr="007937DE">
              <w:rPr>
                <w:rFonts w:ascii="Calibri" w:hAnsi="Calibri"/>
                <w:sz w:val="22"/>
                <w:szCs w:val="22"/>
                <w:lang w:val="pt-BR"/>
              </w:rPr>
              <w:t>pó</w:t>
            </w:r>
            <w:r w:rsidR="00A47504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liofilizado</w:t>
            </w:r>
            <w:r w:rsidR="00B142D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(500 mg), para </w:t>
            </w:r>
            <w:r w:rsidR="006928CB" w:rsidRPr="007937DE">
              <w:rPr>
                <w:rFonts w:ascii="Calibri" w:hAnsi="Calibri"/>
                <w:sz w:val="22"/>
                <w:szCs w:val="22"/>
                <w:lang w:val="pt-BR"/>
              </w:rPr>
              <w:t>ser dissolvido</w:t>
            </w:r>
            <w:r w:rsidR="00B142D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em ampola diluente de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5 ml (100 mg/ml).</w:t>
            </w:r>
            <w:r w:rsidR="002E3EA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Após a reconstituição, a solução pode ser diluída em SF</w:t>
            </w:r>
            <w:r w:rsidR="005977ED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0,9%</w:t>
            </w:r>
            <w:r w:rsidR="002E3EA0" w:rsidRPr="007937DE">
              <w:rPr>
                <w:rFonts w:ascii="Calibri" w:hAnsi="Calibri"/>
                <w:sz w:val="22"/>
                <w:szCs w:val="22"/>
                <w:lang w:val="pt-BR"/>
              </w:rPr>
              <w:t>, SG 5% ou Ringer-Lactato</w:t>
            </w:r>
            <w:r w:rsidR="00836461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para infusão contínua</w:t>
            </w:r>
            <w:r w:rsidR="002E3EA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.  </w:t>
            </w:r>
            <w:r w:rsidR="00B142D0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785592C6" w14:textId="77777777" w:rsidR="00A3164E" w:rsidRDefault="00A3164E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05ECB9BC" w14:textId="77777777" w:rsidR="000B156C" w:rsidRDefault="000B156C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1</w:t>
            </w:r>
            <w:r w:rsidR="00836461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6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frascos</w:t>
            </w:r>
            <w:r w:rsidR="00836461"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(8 g)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659E01E4" w14:textId="77777777" w:rsidR="007904DB" w:rsidRDefault="007904D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7A916071" w14:textId="77777777" w:rsidR="007904DB" w:rsidRPr="007937DE" w:rsidRDefault="007904DB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0B156C" w:rsidRPr="00512BD6" w14:paraId="7EB52162" w14:textId="77777777" w:rsidTr="00961DB5">
        <w:tc>
          <w:tcPr>
            <w:tcW w:w="766" w:type="pct"/>
            <w:shd w:val="clear" w:color="auto" w:fill="auto"/>
          </w:tcPr>
          <w:p w14:paraId="162725C8" w14:textId="1199D44A" w:rsidR="000B156C" w:rsidRPr="006B34C0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47" w:name="_Toc125971530"/>
            <w:bookmarkStart w:id="48" w:name="_Toc126746427"/>
            <w:bookmarkStart w:id="49" w:name="_Toc126746576"/>
            <w:bookmarkStart w:id="50" w:name="_Toc126750588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DIAZEPAM</w:t>
            </w:r>
            <w:bookmarkEnd w:id="47"/>
            <w:bookmarkEnd w:id="48"/>
            <w:bookmarkEnd w:id="49"/>
            <w:bookmarkEnd w:id="50"/>
            <w:r w:rsidR="000B156C" w:rsidRPr="006C070E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,</w:t>
            </w:r>
            <w:r w:rsidR="000B156C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inj.</w:t>
            </w:r>
          </w:p>
        </w:tc>
        <w:tc>
          <w:tcPr>
            <w:tcW w:w="1039" w:type="pct"/>
            <w:shd w:val="clear" w:color="auto" w:fill="auto"/>
          </w:tcPr>
          <w:p w14:paraId="76E118DC" w14:textId="77777777" w:rsidR="00014AAA" w:rsidRDefault="000B156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Tratamento de convulsões, agitação</w:t>
            </w:r>
            <w:r w:rsidR="00386E68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e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rigidez muscular</w:t>
            </w:r>
            <w:r w:rsidR="00F547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, incluindo o tratamento para controle da agitação psicomotora </w:t>
            </w:r>
            <w:r w:rsidR="00232A3F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e rigidez </w:t>
            </w:r>
            <w:r w:rsidR="00F547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na síndrome neuroléptica maligna</w:t>
            </w:r>
            <w:r w:rsidR="00386E68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</w:p>
          <w:p w14:paraId="34839A65" w14:textId="77777777" w:rsidR="00014AAA" w:rsidRDefault="00014AA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37C6F2E1" w14:textId="77777777" w:rsidR="00F54769" w:rsidRPr="007937DE" w:rsidRDefault="00386E6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Alívio da dor torácica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332BAE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associada ao </w:t>
            </w:r>
            <w:r w:rsidR="00014AAA">
              <w:rPr>
                <w:rFonts w:ascii="Calibri" w:hAnsi="Calibri"/>
                <w:sz w:val="22"/>
                <w:szCs w:val="22"/>
                <w:lang w:val="pt-BR"/>
              </w:rPr>
              <w:t xml:space="preserve">consumo de </w:t>
            </w:r>
            <w:r w:rsidR="000B156C"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cocaína</w:t>
            </w:r>
            <w:r w:rsidR="00014AAA">
              <w:rPr>
                <w:rFonts w:ascii="Calibri" w:hAnsi="Calibri"/>
                <w:bCs/>
                <w:iCs/>
                <w:color w:val="C00000"/>
                <w:sz w:val="22"/>
                <w:szCs w:val="22"/>
                <w:lang w:val="pt-BR"/>
              </w:rPr>
              <w:t xml:space="preserve">, </w:t>
            </w:r>
            <w:r w:rsidR="00014AAA" w:rsidRPr="00014AAA">
              <w:rPr>
                <w:rFonts w:ascii="Calibri" w:hAnsi="Calibri"/>
                <w:bCs/>
                <w:iCs/>
                <w:sz w:val="22"/>
                <w:szCs w:val="22"/>
                <w:lang w:val="pt-BR"/>
              </w:rPr>
              <w:t>geralmente desencadeada por vasoespasmo coronariano</w:t>
            </w:r>
            <w:r w:rsidR="000B156C" w:rsidRPr="00014AAA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</w:tc>
        <w:tc>
          <w:tcPr>
            <w:tcW w:w="2336" w:type="pct"/>
          </w:tcPr>
          <w:p w14:paraId="66606193" w14:textId="77777777" w:rsidR="00EB65ED" w:rsidRPr="00EB65ED" w:rsidRDefault="00EB65ED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EB65E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Doses recomendadas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1A8C3B51" w14:textId="77777777" w:rsidR="00EB65ED" w:rsidRPr="00EB65ED" w:rsidRDefault="00EB65ED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10CC5005" w14:textId="77777777" w:rsidR="000B156C" w:rsidRPr="007937DE" w:rsidRDefault="000B156C" w:rsidP="00961DB5"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0,15 mg/kg</w:t>
            </w:r>
            <w:r w:rsidR="00FF12EC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IV.</w:t>
            </w:r>
          </w:p>
          <w:p w14:paraId="09268F22" w14:textId="77777777" w:rsidR="000B156C" w:rsidRPr="007937DE" w:rsidRDefault="000B156C" w:rsidP="00961DB5"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10 mg</w:t>
            </w:r>
            <w:r w:rsidR="00FF12EC"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IV.</w:t>
            </w:r>
          </w:p>
          <w:p w14:paraId="274DD17C" w14:textId="77777777" w:rsidR="000B156C" w:rsidRPr="007937DE" w:rsidRDefault="000B156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859" w:type="pct"/>
          </w:tcPr>
          <w:p w14:paraId="6F6A5C7C" w14:textId="77777777" w:rsidR="000B156C" w:rsidRPr="007937DE" w:rsidRDefault="000B156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u w:val="single"/>
                <w:lang w:val="pt-BR"/>
              </w:rPr>
              <w:t>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ampola de 2 ml (5 mg/ml).</w:t>
            </w:r>
          </w:p>
          <w:p w14:paraId="5E6AE41A" w14:textId="77777777" w:rsidR="00FF0083" w:rsidRPr="007937DE" w:rsidRDefault="00FF0083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45BD9861" w14:textId="77777777" w:rsidR="000B156C" w:rsidRDefault="000B156C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4 ampolas</w:t>
            </w:r>
            <w:r w:rsidR="006F14E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(20 mg).</w:t>
            </w:r>
          </w:p>
          <w:p w14:paraId="158BA066" w14:textId="77777777" w:rsidR="007904DB" w:rsidRDefault="007904D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7F6271CF" w14:textId="77777777" w:rsidR="007904DB" w:rsidRPr="007937DE" w:rsidRDefault="007904DB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0B156C" w:rsidRPr="00512BD6" w14:paraId="3BD6688B" w14:textId="77777777" w:rsidTr="00961DB5">
        <w:tc>
          <w:tcPr>
            <w:tcW w:w="766" w:type="pct"/>
            <w:shd w:val="clear" w:color="auto" w:fill="auto"/>
          </w:tcPr>
          <w:p w14:paraId="05CEB14E" w14:textId="76099DF3" w:rsidR="000B156C" w:rsidRPr="006B34C0" w:rsidRDefault="004023D4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51" w:name="_Toc125971531"/>
            <w:bookmarkStart w:id="52" w:name="_Toc126746428"/>
            <w:bookmarkStart w:id="53" w:name="_Toc126746577"/>
            <w:bookmarkStart w:id="54" w:name="_Toc126750589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DIFENIDRAMINA</w:t>
            </w:r>
            <w:bookmarkEnd w:id="51"/>
            <w:bookmarkEnd w:id="52"/>
            <w:bookmarkEnd w:id="53"/>
            <w:bookmarkEnd w:id="54"/>
            <w:r w:rsidR="000B156C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, inj.</w:t>
            </w:r>
          </w:p>
        </w:tc>
        <w:tc>
          <w:tcPr>
            <w:tcW w:w="1039" w:type="pct"/>
            <w:shd w:val="clear" w:color="auto" w:fill="auto"/>
          </w:tcPr>
          <w:p w14:paraId="6574A4D2" w14:textId="77777777" w:rsidR="000B156C" w:rsidRPr="007937DE" w:rsidRDefault="000B156C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Distonia aguda intensa desencadeada por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bloqueadores dopaminérgicos como metoclopramida, butirofenonas (haloperidol) e fenotiazínicos (principalmente clorpromazina e tioridazina)</w:t>
            </w:r>
          </w:p>
        </w:tc>
        <w:tc>
          <w:tcPr>
            <w:tcW w:w="2336" w:type="pct"/>
          </w:tcPr>
          <w:p w14:paraId="46E401ED" w14:textId="77777777" w:rsidR="003565B6" w:rsidRDefault="003565B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Difenidramina é um antagonista </w:t>
            </w:r>
            <w:r w:rsidR="00B773F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dos receptores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H1 da histamina</w:t>
            </w:r>
            <w:r w:rsidR="00485747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com atividade sedativa e anticolinérgica, sendo eficaz no tratamento da distonia aguda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</w:p>
          <w:p w14:paraId="342AC1AE" w14:textId="77777777" w:rsidR="000B156C" w:rsidRPr="009F79E2" w:rsidRDefault="000B156C" w:rsidP="00961DB5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9F79E2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9F79E2">
              <w:rPr>
                <w:rFonts w:ascii="Calibri" w:hAnsi="Calibri"/>
                <w:sz w:val="22"/>
                <w:szCs w:val="22"/>
                <w:lang w:val="pt-BR"/>
              </w:rPr>
              <w:t>: 1 a 1,25 mg/kg/dose</w:t>
            </w:r>
            <w:r w:rsidR="00FF12EC" w:rsidRPr="009F79E2">
              <w:rPr>
                <w:rFonts w:ascii="Calibri" w:hAnsi="Calibri"/>
                <w:sz w:val="22"/>
                <w:szCs w:val="22"/>
                <w:lang w:val="pt-BR"/>
              </w:rPr>
              <w:t xml:space="preserve"> IV</w:t>
            </w:r>
            <w:r w:rsidRPr="009F79E2">
              <w:rPr>
                <w:rFonts w:ascii="Calibri" w:hAnsi="Calibri"/>
                <w:sz w:val="22"/>
                <w:szCs w:val="22"/>
                <w:lang w:val="pt-BR"/>
              </w:rPr>
              <w:t>, no máximo de 300 mg/dia.</w:t>
            </w:r>
          </w:p>
          <w:p w14:paraId="67550F38" w14:textId="77777777" w:rsidR="001E016C" w:rsidRPr="007937DE" w:rsidRDefault="001E016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39B2948A" w14:textId="560BD218" w:rsidR="000B156C" w:rsidRPr="007937DE" w:rsidRDefault="000B156C" w:rsidP="003E3A5B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9F79E2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9F79E2">
              <w:rPr>
                <w:rFonts w:ascii="Calibri" w:hAnsi="Calibri"/>
                <w:sz w:val="22"/>
                <w:szCs w:val="22"/>
                <w:lang w:val="pt-BR"/>
              </w:rPr>
              <w:t>: 25 a 50 mg</w:t>
            </w:r>
            <w:r w:rsidR="00FF12EC" w:rsidRPr="009F79E2">
              <w:rPr>
                <w:rFonts w:ascii="Calibri" w:hAnsi="Calibri"/>
                <w:sz w:val="22"/>
                <w:szCs w:val="22"/>
                <w:lang w:val="pt-BR"/>
              </w:rPr>
              <w:t xml:space="preserve"> IV</w:t>
            </w:r>
            <w:r w:rsidRPr="009F79E2">
              <w:rPr>
                <w:rFonts w:ascii="Calibri" w:hAnsi="Calibri"/>
                <w:sz w:val="22"/>
                <w:szCs w:val="22"/>
                <w:lang w:val="pt-BR"/>
              </w:rPr>
              <w:t xml:space="preserve">, repetir </w:t>
            </w:r>
            <w:r w:rsidR="00274E57" w:rsidRPr="009F79E2">
              <w:rPr>
                <w:rFonts w:ascii="Calibri" w:hAnsi="Calibri"/>
                <w:sz w:val="22"/>
                <w:szCs w:val="22"/>
                <w:lang w:val="pt-BR"/>
              </w:rPr>
              <w:t xml:space="preserve">caso necessário </w:t>
            </w:r>
            <w:r w:rsidRPr="009F79E2">
              <w:rPr>
                <w:rFonts w:ascii="Calibri" w:hAnsi="Calibri"/>
                <w:sz w:val="22"/>
                <w:szCs w:val="22"/>
                <w:lang w:val="pt-BR"/>
              </w:rPr>
              <w:t>a cada 4 a 6h. Máximo de 100 mg/dose</w:t>
            </w:r>
            <w:r w:rsidR="00B65B21" w:rsidRPr="009F79E2">
              <w:rPr>
                <w:rFonts w:ascii="Calibri" w:hAnsi="Calibri"/>
                <w:sz w:val="22"/>
                <w:szCs w:val="22"/>
                <w:lang w:val="pt-BR"/>
              </w:rPr>
              <w:t xml:space="preserve"> (</w:t>
            </w:r>
            <w:r w:rsidRPr="009F79E2">
              <w:rPr>
                <w:rFonts w:ascii="Calibri" w:hAnsi="Calibri"/>
                <w:sz w:val="22"/>
                <w:szCs w:val="22"/>
                <w:lang w:val="pt-BR"/>
              </w:rPr>
              <w:t>400 mg/dia</w:t>
            </w:r>
            <w:r w:rsidR="00B65B21" w:rsidRPr="009F79E2">
              <w:rPr>
                <w:rFonts w:ascii="Calibri" w:hAnsi="Calibri"/>
                <w:sz w:val="22"/>
                <w:szCs w:val="22"/>
                <w:lang w:val="pt-BR"/>
              </w:rPr>
              <w:t>)</w:t>
            </w:r>
            <w:r w:rsidRPr="009F79E2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</w:tc>
        <w:tc>
          <w:tcPr>
            <w:tcW w:w="859" w:type="pct"/>
          </w:tcPr>
          <w:p w14:paraId="12F933D9" w14:textId="77777777" w:rsidR="000B156C" w:rsidRPr="007937DE" w:rsidRDefault="000B156C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F03B86">
              <w:rPr>
                <w:rFonts w:ascii="Calibri" w:hAnsi="Calibri"/>
                <w:sz w:val="22"/>
                <w:szCs w:val="22"/>
                <w:u w:val="single"/>
                <w:lang w:val="pt-BR"/>
              </w:rPr>
              <w:t>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ampola de 1 ml (50 mg/ml).</w:t>
            </w:r>
          </w:p>
          <w:p w14:paraId="7D46CAC5" w14:textId="77777777" w:rsidR="00FF0083" w:rsidRPr="007937DE" w:rsidRDefault="00FF0083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1FDDD796" w14:textId="77777777" w:rsidR="000B156C" w:rsidRDefault="000B156C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="006F14EA">
              <w:rPr>
                <w:rFonts w:ascii="Calibri" w:hAnsi="Calibri"/>
                <w:b/>
                <w:sz w:val="22"/>
                <w:szCs w:val="22"/>
                <w:lang w:val="pt-BR"/>
              </w:rPr>
              <w:t>8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ampolas</w:t>
            </w:r>
            <w:r w:rsidR="006F14E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(400 mg)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1CA45E40" w14:textId="77777777" w:rsidR="000728AB" w:rsidRDefault="000728A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68C07F09" w14:textId="5DB835E5" w:rsidR="000728AB" w:rsidRPr="007937DE" w:rsidRDefault="000728AB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DD15FF" w:rsidRPr="00862C21" w14:paraId="4C6E90F4" w14:textId="77777777" w:rsidTr="00961DB5">
        <w:tc>
          <w:tcPr>
            <w:tcW w:w="766" w:type="pct"/>
            <w:shd w:val="clear" w:color="auto" w:fill="auto"/>
          </w:tcPr>
          <w:p w14:paraId="2B756208" w14:textId="7018CF38" w:rsidR="00DD15FF" w:rsidRPr="006B34C0" w:rsidRDefault="00504F32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highlight w:val="yellow"/>
                <w:lang w:val="pt-BR"/>
              </w:rPr>
            </w:pPr>
            <w:bookmarkStart w:id="55" w:name="_Toc125971532"/>
            <w:bookmarkStart w:id="56" w:name="_Toc126746429"/>
            <w:bookmarkStart w:id="57" w:name="_Toc126746578"/>
            <w:bookmarkStart w:id="58" w:name="_Toc126750590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DMSA</w:t>
            </w:r>
            <w:r w:rsidR="00FF25BA"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 xml:space="preserve"> </w:t>
            </w:r>
            <w:r w:rsidR="00E005D7" w:rsidRPr="00DE0BAC">
              <w:rPr>
                <w:rStyle w:val="Ttulo2Char"/>
                <w:rFonts w:ascii="Calibri" w:hAnsi="Calibri" w:cs="Calibri"/>
                <w:b w:val="0"/>
                <w:sz w:val="22"/>
                <w:szCs w:val="22"/>
                <w:lang w:val="pt-BR"/>
              </w:rPr>
              <w:t>(</w:t>
            </w:r>
            <w:bookmarkEnd w:id="55"/>
            <w:bookmarkEnd w:id="56"/>
            <w:bookmarkEnd w:id="57"/>
            <w:bookmarkEnd w:id="58"/>
            <w:r w:rsidR="00E005D7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succimer</w:t>
            </w:r>
            <w:r w:rsidR="0092659A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)</w:t>
            </w:r>
            <w:r w:rsidR="00E005D7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, </w:t>
            </w:r>
            <w:r w:rsidR="00FF25BA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uso por </w:t>
            </w:r>
            <w:r w:rsidR="00874460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VO ou SNG.</w:t>
            </w:r>
          </w:p>
        </w:tc>
        <w:tc>
          <w:tcPr>
            <w:tcW w:w="1039" w:type="pct"/>
            <w:shd w:val="clear" w:color="auto" w:fill="auto"/>
          </w:tcPr>
          <w:p w14:paraId="513E95F6" w14:textId="77777777" w:rsidR="00DD15FF" w:rsidRPr="00421E58" w:rsidRDefault="00421E58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t-BR"/>
              </w:rPr>
            </w:pPr>
            <w:r w:rsidRPr="00421E58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Intoxicação aguda ou crônica por arsênio, chumbo</w:t>
            </w:r>
            <w:r w:rsidR="005C3BA8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</w:t>
            </w:r>
            <w:r w:rsidR="00EB65ED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ou</w:t>
            </w:r>
            <w:r w:rsidRPr="00421E58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mercúrio</w:t>
            </w:r>
            <w:r w:rsidR="005C3BA8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.</w:t>
            </w:r>
            <w:r w:rsidRPr="00421E58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36" w:type="pct"/>
          </w:tcPr>
          <w:p w14:paraId="690BDC06" w14:textId="77777777" w:rsidR="00DD15FF" w:rsidRDefault="00421E58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DMSA (ácido 2,3-dimercaptosuccínico) é um quelante oral para tratamento de intoxicações por </w:t>
            </w:r>
            <w:r w:rsidR="005C3BA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diversos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metais.</w:t>
            </w:r>
          </w:p>
          <w:p w14:paraId="0704D455" w14:textId="77777777" w:rsidR="002A0EB8" w:rsidRDefault="002A0EB8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5F5287E9" w14:textId="77777777" w:rsidR="00EB65ED" w:rsidRPr="00EB65ED" w:rsidRDefault="002A0EB8" w:rsidP="00961DB5">
            <w:pPr>
              <w:pStyle w:val="PargrafodaLista"/>
              <w:numPr>
                <w:ilvl w:val="0"/>
                <w:numId w:val="6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EB65E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As d</w:t>
            </w:r>
            <w:r w:rsidR="005C3BA8" w:rsidRPr="00EB65E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oses indicadas </w:t>
            </w:r>
            <w:r w:rsidRPr="00EB65E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para quelação </w:t>
            </w:r>
            <w:r w:rsidR="00DC2BE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nas intoxicações por arsênio, chumbo ou mercúrio </w:t>
            </w:r>
            <w:r w:rsidRPr="00EB65E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são de: </w:t>
            </w:r>
          </w:p>
          <w:p w14:paraId="7C34D6F9" w14:textId="77777777" w:rsidR="00EB65ED" w:rsidRDefault="002A0EB8" w:rsidP="00961DB5">
            <w:pPr>
              <w:pStyle w:val="PargrafodaLista"/>
              <w:numPr>
                <w:ilvl w:val="1"/>
                <w:numId w:val="6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EB65ED">
              <w:rPr>
                <w:rFonts w:ascii="Calibri" w:hAnsi="Calibri"/>
                <w:sz w:val="22"/>
                <w:szCs w:val="22"/>
                <w:lang w:val="pt-BR"/>
              </w:rPr>
              <w:t>1</w:t>
            </w:r>
            <w:r w:rsidR="003A0F0B" w:rsidRPr="00EB65ED">
              <w:rPr>
                <w:rFonts w:ascii="Calibri" w:hAnsi="Calibri"/>
                <w:sz w:val="22"/>
                <w:szCs w:val="22"/>
                <w:lang w:val="pt-BR"/>
              </w:rPr>
              <w:t>0 mg/kg/d</w:t>
            </w:r>
            <w:r w:rsidR="00653A0C" w:rsidRPr="00EB65ED">
              <w:rPr>
                <w:rFonts w:ascii="Calibri" w:hAnsi="Calibri"/>
                <w:sz w:val="22"/>
                <w:szCs w:val="22"/>
                <w:lang w:val="pt-BR"/>
              </w:rPr>
              <w:t xml:space="preserve">ose, 3 vezes ao dia (30 mg/kg/dia), </w:t>
            </w:r>
            <w:r w:rsidR="003A0F0B" w:rsidRPr="00EB65ED">
              <w:rPr>
                <w:rFonts w:ascii="Calibri" w:hAnsi="Calibri"/>
                <w:sz w:val="22"/>
                <w:szCs w:val="22"/>
                <w:lang w:val="pt-BR"/>
              </w:rPr>
              <w:t>por 5 dias</w:t>
            </w:r>
            <w:r w:rsidRPr="00EB65ED">
              <w:rPr>
                <w:rFonts w:ascii="Calibri" w:hAnsi="Calibri"/>
                <w:sz w:val="22"/>
                <w:szCs w:val="22"/>
                <w:lang w:val="pt-BR"/>
              </w:rPr>
              <w:t xml:space="preserve">, seguida </w:t>
            </w:r>
            <w:r w:rsidR="000A2734" w:rsidRPr="00EB65ED">
              <w:rPr>
                <w:rFonts w:ascii="Calibri" w:hAnsi="Calibri"/>
                <w:sz w:val="22"/>
                <w:szCs w:val="22"/>
                <w:lang w:val="pt-BR"/>
              </w:rPr>
              <w:t xml:space="preserve">de outro ciclo de </w:t>
            </w:r>
            <w:r w:rsidRPr="00EB65ED">
              <w:rPr>
                <w:rFonts w:ascii="Calibri" w:hAnsi="Calibri"/>
                <w:sz w:val="22"/>
                <w:szCs w:val="22"/>
                <w:lang w:val="pt-BR"/>
              </w:rPr>
              <w:t>10 mg/kg/dose 2 vezes ao (20 mg/kg/dia) por mais 14 dias</w:t>
            </w:r>
            <w:r w:rsidR="00BA4486">
              <w:rPr>
                <w:rFonts w:ascii="Calibri" w:hAnsi="Calibri"/>
                <w:sz w:val="22"/>
                <w:szCs w:val="22"/>
                <w:lang w:val="pt-BR"/>
              </w:rPr>
              <w:t xml:space="preserve"> (</w:t>
            </w:r>
            <w:r w:rsidR="00BA4486" w:rsidRPr="00BA4486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tempo total do ciclo de tratamento 19 dias</w:t>
            </w:r>
            <w:r w:rsidR="00BA4486" w:rsidRPr="00BA4486">
              <w:rPr>
                <w:rFonts w:ascii="Calibri" w:hAnsi="Calibri"/>
                <w:sz w:val="22"/>
                <w:szCs w:val="22"/>
                <w:lang w:val="pt-BR"/>
              </w:rPr>
              <w:t>).</w:t>
            </w:r>
            <w:r w:rsidR="000A2734" w:rsidRPr="00EB65ED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12280CCA" w14:textId="77777777" w:rsidR="003A0F0B" w:rsidRDefault="000A2734" w:rsidP="00961DB5">
            <w:pPr>
              <w:pStyle w:val="PargrafodaLista"/>
              <w:numPr>
                <w:ilvl w:val="1"/>
                <w:numId w:val="6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EB65ED">
              <w:rPr>
                <w:rFonts w:ascii="Calibri" w:hAnsi="Calibri"/>
                <w:sz w:val="22"/>
                <w:szCs w:val="22"/>
                <w:lang w:val="pt-BR"/>
              </w:rPr>
              <w:t>Ciclos consecutivos podem ser necessários de acordo com a evolução</w:t>
            </w:r>
            <w:r w:rsidR="0081682E" w:rsidRPr="00EB65ED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257F5E74" w14:textId="77777777" w:rsidR="00DC2BE8" w:rsidRPr="001E4892" w:rsidRDefault="00DC2BE8" w:rsidP="00961DB5">
            <w:pPr>
              <w:pStyle w:val="PargrafodaLista"/>
              <w:numPr>
                <w:ilvl w:val="1"/>
                <w:numId w:val="62"/>
              </w:numPr>
              <w:spacing w:line="276" w:lineRule="auto"/>
              <w:jc w:val="left"/>
              <w:rPr>
                <w:rFonts w:ascii="Calibri" w:hAnsi="Calibri"/>
                <w:i/>
                <w:iCs/>
                <w:color w:val="C00000"/>
                <w:sz w:val="22"/>
                <w:szCs w:val="22"/>
                <w:lang w:val="pt-BR"/>
              </w:rPr>
            </w:pPr>
            <w:r w:rsidRPr="001E4892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O tratamento da intoxicação por </w:t>
            </w:r>
            <w:r w:rsidR="001E4892" w:rsidRPr="001E4892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ARSÊNIO</w:t>
            </w:r>
            <w:r w:rsidRPr="001E4892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deve ser iniciado o mais rápido possível</w:t>
            </w:r>
            <w:r w:rsidRPr="001E4892">
              <w:rPr>
                <w:rFonts w:ascii="Calibri" w:hAnsi="Calibri"/>
                <w:i/>
                <w:iCs/>
                <w:color w:val="C00000"/>
                <w:sz w:val="22"/>
                <w:szCs w:val="22"/>
                <w:lang w:val="pt-BR"/>
              </w:rPr>
              <w:t>.</w:t>
            </w:r>
          </w:p>
          <w:p w14:paraId="22573D0B" w14:textId="77777777" w:rsidR="001E4892" w:rsidRDefault="00DC2BE8" w:rsidP="00961DB5">
            <w:pPr>
              <w:pStyle w:val="PargrafodaLista"/>
              <w:numPr>
                <w:ilvl w:val="1"/>
                <w:numId w:val="62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DA101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Nas intoxicações agudas por </w:t>
            </w:r>
            <w:r w:rsidRPr="00127AB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ARSÊNIO</w:t>
            </w:r>
            <w:r w:rsidRPr="00DA101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27AB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inorgânico</w:t>
            </w:r>
            <w:r w:rsidRPr="00DA101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(</w:t>
            </w:r>
            <w:r w:rsidR="001E489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ex., </w:t>
            </w:r>
            <w:r w:rsidRPr="00DA101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trióxido de arsênio)</w:t>
            </w:r>
            <w:r w:rsidR="001E489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,</w:t>
            </w:r>
            <w:r w:rsidRPr="00DA101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1E4892" w:rsidRPr="00DA101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na indisponibilidade do DMPS (</w:t>
            </w:r>
            <w:bookmarkStart w:id="59" w:name="_Hlk96611686"/>
            <w:r w:rsidR="001E4892" w:rsidRPr="00DA101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ácido dimercapto-propanilsulfônico</w:t>
            </w:r>
            <w:bookmarkEnd w:id="59"/>
            <w:r w:rsidR="001E4892" w:rsidRPr="00DA101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)</w:t>
            </w:r>
            <w:r w:rsidR="001E489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para uso IV </w:t>
            </w:r>
            <w:r w:rsidRPr="00DA101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o DMSA </w:t>
            </w:r>
            <w:r w:rsidR="001E489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por VO ou SNG </w:t>
            </w:r>
            <w:r w:rsidRPr="00DA101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é a droga de escolha</w:t>
            </w:r>
            <w:r w:rsidR="001E489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</w:p>
          <w:p w14:paraId="07CD8B9E" w14:textId="77777777" w:rsidR="00DC2BE8" w:rsidRDefault="00DC2BE8" w:rsidP="00961DB5">
            <w:pPr>
              <w:pStyle w:val="PargrafodaLista"/>
              <w:numPr>
                <w:ilvl w:val="1"/>
                <w:numId w:val="6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1E4892">
              <w:rPr>
                <w:rFonts w:ascii="Calibri" w:hAnsi="Calibri"/>
                <w:sz w:val="22"/>
                <w:szCs w:val="22"/>
                <w:lang w:val="pt-BR"/>
              </w:rPr>
              <w:t xml:space="preserve">O </w:t>
            </w:r>
            <w:r w:rsidR="001E4892">
              <w:rPr>
                <w:rFonts w:ascii="Calibri" w:hAnsi="Calibri"/>
                <w:sz w:val="22"/>
                <w:szCs w:val="22"/>
                <w:lang w:val="pt-BR"/>
              </w:rPr>
              <w:t>d</w:t>
            </w:r>
            <w:r w:rsidRPr="001E4892">
              <w:rPr>
                <w:rFonts w:ascii="Calibri" w:hAnsi="Calibri"/>
                <w:sz w:val="22"/>
                <w:szCs w:val="22"/>
                <w:lang w:val="pt-BR"/>
              </w:rPr>
              <w:t>imecaprol (BAL)</w:t>
            </w:r>
            <w:r w:rsidR="001E4892">
              <w:rPr>
                <w:rFonts w:ascii="Calibri" w:hAnsi="Calibri"/>
                <w:sz w:val="22"/>
                <w:szCs w:val="22"/>
                <w:lang w:val="pt-BR"/>
              </w:rPr>
              <w:t xml:space="preserve"> por via IM </w:t>
            </w:r>
            <w:r w:rsidRPr="001E4892">
              <w:rPr>
                <w:rFonts w:ascii="Calibri" w:hAnsi="Calibri"/>
                <w:sz w:val="22"/>
                <w:szCs w:val="22"/>
                <w:lang w:val="pt-BR"/>
              </w:rPr>
              <w:t>não apresenta vantagens sobre essas suas drogas</w:t>
            </w:r>
            <w:r w:rsidR="000F7AC1">
              <w:rPr>
                <w:rFonts w:ascii="Calibri" w:hAnsi="Calibri"/>
                <w:sz w:val="22"/>
                <w:szCs w:val="22"/>
                <w:lang w:val="pt-BR"/>
              </w:rPr>
              <w:t xml:space="preserve"> (DMPS ou DMSA)</w:t>
            </w:r>
            <w:r w:rsidRPr="001E4892">
              <w:rPr>
                <w:rFonts w:ascii="Calibri" w:hAnsi="Calibri"/>
                <w:sz w:val="22"/>
                <w:szCs w:val="22"/>
                <w:lang w:val="pt-BR"/>
              </w:rPr>
              <w:t xml:space="preserve">, além de provocar efeitos colaterais importantes. </w:t>
            </w:r>
            <w:r w:rsidR="001E4892">
              <w:rPr>
                <w:rFonts w:ascii="Calibri" w:hAnsi="Calibri"/>
                <w:sz w:val="22"/>
                <w:szCs w:val="22"/>
                <w:lang w:val="pt-BR"/>
              </w:rPr>
              <w:t>Ademais, o</w:t>
            </w:r>
            <w:r w:rsidRPr="001E4892">
              <w:rPr>
                <w:rFonts w:ascii="Calibri" w:hAnsi="Calibri"/>
                <w:sz w:val="22"/>
                <w:szCs w:val="22"/>
                <w:lang w:val="pt-BR"/>
              </w:rPr>
              <w:t xml:space="preserve"> BAL não se encontra </w:t>
            </w:r>
            <w:r w:rsidR="001E4892">
              <w:rPr>
                <w:rFonts w:ascii="Calibri" w:hAnsi="Calibri"/>
                <w:sz w:val="22"/>
                <w:szCs w:val="22"/>
                <w:lang w:val="pt-BR"/>
              </w:rPr>
              <w:t xml:space="preserve">mais </w:t>
            </w:r>
            <w:r w:rsidRPr="001E4892">
              <w:rPr>
                <w:rFonts w:ascii="Calibri" w:hAnsi="Calibri"/>
                <w:sz w:val="22"/>
                <w:szCs w:val="22"/>
                <w:lang w:val="pt-BR"/>
              </w:rPr>
              <w:t>disponível no Brasil.</w:t>
            </w:r>
          </w:p>
          <w:p w14:paraId="7371DDD9" w14:textId="77777777" w:rsidR="00A034A8" w:rsidRDefault="00A034A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7258C989" w14:textId="77777777" w:rsidR="00A034A8" w:rsidRPr="00A034A8" w:rsidRDefault="00A034A8" w:rsidP="00961DB5">
            <w:pPr>
              <w:pStyle w:val="PargrafodaLista"/>
              <w:numPr>
                <w:ilvl w:val="0"/>
                <w:numId w:val="6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NAS </w:t>
            </w:r>
            <w:r w:rsidRPr="003B4F7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INTOXICAÇÕES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AGUDAS </w:t>
            </w:r>
            <w:r w:rsidRPr="003B4F7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POR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MERCÚRIO INORGÂNICO ELEMENTAR, POR EXPOSIÇÃO INALATÓRIA, há indicação da quelação, seguindo as doses acima, nos paciente</w:t>
            </w:r>
            <w:r w:rsidR="00B94B5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com quadro sintomático geral como:</w:t>
            </w:r>
          </w:p>
          <w:p w14:paraId="533888C6" w14:textId="77777777" w:rsidR="00A034A8" w:rsidRPr="00A034A8" w:rsidRDefault="00A034A8" w:rsidP="00961DB5">
            <w:pPr>
              <w:pStyle w:val="PargrafodaLista"/>
              <w:numPr>
                <w:ilvl w:val="1"/>
                <w:numId w:val="6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F</w:t>
            </w:r>
            <w:r w:rsidRPr="00A034A8">
              <w:rPr>
                <w:rFonts w:ascii="Calibri" w:hAnsi="Calibri"/>
                <w:sz w:val="22"/>
                <w:szCs w:val="22"/>
                <w:lang w:val="pt-BR"/>
              </w:rPr>
              <w:t>ebre, fadiga, náuseas, vômitos, diarreia, alterações neurológicas e/ou neurocomportamentais, quadro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s</w:t>
            </w:r>
            <w:r w:rsidRPr="00A034A8">
              <w:rPr>
                <w:rFonts w:ascii="Calibri" w:hAnsi="Calibri"/>
                <w:sz w:val="22"/>
                <w:szCs w:val="22"/>
                <w:lang w:val="pt-BR"/>
              </w:rPr>
              <w:t xml:space="preserve"> dermatológico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s</w:t>
            </w:r>
            <w:r w:rsidRPr="00A034A8">
              <w:rPr>
                <w:rFonts w:ascii="Calibri" w:hAnsi="Calibri"/>
                <w:sz w:val="22"/>
                <w:szCs w:val="22"/>
                <w:lang w:val="pt-BR"/>
              </w:rPr>
              <w:t xml:space="preserve"> característicos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(ex., acrodínia)</w:t>
            </w:r>
            <w:r w:rsidRPr="00A034A8">
              <w:rPr>
                <w:rFonts w:ascii="Calibri" w:hAnsi="Calibri"/>
                <w:sz w:val="22"/>
                <w:szCs w:val="22"/>
                <w:lang w:val="pt-BR"/>
              </w:rPr>
              <w:t>, com ou sem resultados de Hg na urina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3AE40572" w14:textId="77777777" w:rsidR="000A2734" w:rsidRPr="00EA4625" w:rsidRDefault="000A2734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58B1C75F" w14:textId="77777777" w:rsidR="00EA4625" w:rsidRPr="003B4F70" w:rsidRDefault="002A0EB8" w:rsidP="00961DB5">
            <w:pPr>
              <w:pStyle w:val="PargrafodaLista"/>
              <w:numPr>
                <w:ilvl w:val="0"/>
                <w:numId w:val="62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3B4F7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Indicações de quelação nas intoxicações por </w:t>
            </w:r>
            <w:r w:rsidR="0081682E" w:rsidRPr="003B4F7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CHUMBO:</w:t>
            </w:r>
          </w:p>
          <w:p w14:paraId="373A6300" w14:textId="77777777" w:rsidR="003B4F70" w:rsidRPr="003B4F70" w:rsidRDefault="003B4F70" w:rsidP="00961DB5">
            <w:pPr>
              <w:pStyle w:val="PargrafodaLista"/>
              <w:numPr>
                <w:ilvl w:val="1"/>
                <w:numId w:val="6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3B4F7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Crianças</w:t>
            </w:r>
            <w:r w:rsidRPr="003B4F70">
              <w:rPr>
                <w:rFonts w:ascii="Calibri" w:hAnsi="Calibri"/>
                <w:sz w:val="22"/>
                <w:szCs w:val="22"/>
                <w:lang w:val="pt-BR"/>
              </w:rPr>
              <w:t xml:space="preserve">: sintomáticas ou </w:t>
            </w:r>
            <w:r w:rsidRPr="003B4F70">
              <w:rPr>
                <w:rFonts w:ascii="Calibri" w:hAnsi="Calibri"/>
                <w:sz w:val="22"/>
                <w:szCs w:val="22"/>
                <w:u w:val="single"/>
                <w:lang w:val="pt-BR"/>
              </w:rPr>
              <w:t>assintomáticas</w:t>
            </w:r>
            <w:r w:rsidRPr="003B4F70">
              <w:rPr>
                <w:rFonts w:ascii="Calibri" w:hAnsi="Calibri"/>
                <w:sz w:val="22"/>
                <w:szCs w:val="22"/>
                <w:lang w:val="pt-BR"/>
              </w:rPr>
              <w:t xml:space="preserve"> (tomadas as medidas de identificação e controle da exposição) com concentrações de chumbo sérico &gt; 45 mcg/dl. </w:t>
            </w:r>
          </w:p>
          <w:p w14:paraId="55F4C885" w14:textId="77777777" w:rsidR="003B4F70" w:rsidRDefault="003B4F70" w:rsidP="00961DB5">
            <w:pPr>
              <w:pStyle w:val="PargrafodaLista"/>
              <w:numPr>
                <w:ilvl w:val="1"/>
                <w:numId w:val="6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3B4F7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Adultos</w:t>
            </w:r>
            <w:r w:rsidRPr="003B4F70">
              <w:rPr>
                <w:rFonts w:ascii="Calibri" w:hAnsi="Calibri"/>
                <w:sz w:val="22"/>
                <w:szCs w:val="22"/>
                <w:lang w:val="pt-BR"/>
              </w:rPr>
              <w:t xml:space="preserve">: considerar a indicação em expostos com sintomas agudos/subagudos de cólica abdominal intensa e quadro de encefalopatia (agitação, depressão de sensório, delírios, alucinações, convulsões) com chumbo sérico &gt; 50 mcg/dl OU, se </w:t>
            </w:r>
            <w:r w:rsidRPr="003B4F70">
              <w:rPr>
                <w:rFonts w:ascii="Calibri" w:hAnsi="Calibri"/>
                <w:sz w:val="22"/>
                <w:szCs w:val="22"/>
                <w:u w:val="single"/>
                <w:lang w:val="pt-BR"/>
              </w:rPr>
              <w:t>assintomáticos</w:t>
            </w:r>
            <w:r w:rsidRPr="003B4F70">
              <w:rPr>
                <w:rFonts w:ascii="Calibri" w:hAnsi="Calibri"/>
                <w:sz w:val="22"/>
                <w:szCs w:val="22"/>
                <w:lang w:val="pt-BR"/>
              </w:rPr>
              <w:t xml:space="preserve"> e </w:t>
            </w:r>
            <w:r w:rsidRPr="003B4F70">
              <w:rPr>
                <w:rFonts w:ascii="Calibri" w:hAnsi="Calibri"/>
                <w:sz w:val="22"/>
                <w:szCs w:val="22"/>
                <w:u w:val="single"/>
                <w:lang w:val="pt-BR"/>
              </w:rPr>
              <w:t>afastados da exposição</w:t>
            </w:r>
            <w:r w:rsidRPr="003B4F70">
              <w:rPr>
                <w:rFonts w:ascii="Calibri" w:hAnsi="Calibri"/>
                <w:sz w:val="22"/>
                <w:szCs w:val="22"/>
                <w:lang w:val="pt-BR"/>
              </w:rPr>
              <w:t xml:space="preserve"> por mais de 03 (três) meses, e com chumbo sérico &gt; 35 mcg/dl.</w:t>
            </w:r>
          </w:p>
          <w:p w14:paraId="2ABD8822" w14:textId="77777777" w:rsidR="00DC2BE8" w:rsidRPr="00DC2BE8" w:rsidRDefault="00DC2BE8" w:rsidP="00961DB5">
            <w:pPr>
              <w:pStyle w:val="PargrafodaLista"/>
              <w:numPr>
                <w:ilvl w:val="1"/>
                <w:numId w:val="62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DC2BE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Ciclos consecutivos de quelação podem ser necessários de acordo com as concentrações de chumbo, recomendando-se um intervalo de 2 semanas entre os ciclos</w:t>
            </w:r>
            <w:r w:rsidRPr="00DC2BE8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. </w:t>
            </w:r>
          </w:p>
          <w:p w14:paraId="441C56D2" w14:textId="77777777" w:rsidR="00653A0C" w:rsidRDefault="00653A0C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0E3B814C" w14:textId="77777777" w:rsidR="003B4F70" w:rsidRDefault="003A0F0B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Observação</w:t>
            </w:r>
            <w:r w:rsidRPr="00653A0C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1BDBED45" w14:textId="77777777" w:rsidR="00421E58" w:rsidRPr="003B4F70" w:rsidRDefault="00653A0C" w:rsidP="00961DB5">
            <w:pPr>
              <w:pStyle w:val="PargrafodaLista"/>
              <w:numPr>
                <w:ilvl w:val="0"/>
                <w:numId w:val="62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3B4F70">
              <w:rPr>
                <w:rFonts w:ascii="Calibri" w:hAnsi="Calibri"/>
                <w:sz w:val="22"/>
                <w:szCs w:val="22"/>
                <w:lang w:val="pt-BR"/>
              </w:rPr>
              <w:t>Medicação segura com p</w:t>
            </w:r>
            <w:r w:rsidR="003A0F0B" w:rsidRPr="003B4F70">
              <w:rPr>
                <w:rFonts w:ascii="Calibri" w:hAnsi="Calibri"/>
                <w:sz w:val="22"/>
                <w:szCs w:val="22"/>
                <w:lang w:val="pt-BR"/>
              </w:rPr>
              <w:t>oucos efeitos adversos, que incluem</w:t>
            </w:r>
            <w:r w:rsidR="00A14ACB" w:rsidRPr="003B4F70">
              <w:rPr>
                <w:rFonts w:ascii="Calibri" w:hAnsi="Calibri"/>
                <w:sz w:val="22"/>
                <w:szCs w:val="22"/>
                <w:lang w:val="pt-BR"/>
              </w:rPr>
              <w:t xml:space="preserve"> manifestações gastrintestinais (sensação de gosto metálico, n</w:t>
            </w:r>
            <w:r w:rsidR="003A0F0B" w:rsidRPr="003B4F70">
              <w:rPr>
                <w:rFonts w:ascii="Calibri" w:hAnsi="Calibri"/>
                <w:sz w:val="22"/>
                <w:szCs w:val="22"/>
                <w:lang w:val="pt-BR"/>
              </w:rPr>
              <w:t xml:space="preserve">áuseas, </w:t>
            </w:r>
            <w:r w:rsidR="00A14ACB" w:rsidRPr="003B4F70">
              <w:rPr>
                <w:rFonts w:ascii="Calibri" w:hAnsi="Calibri"/>
                <w:sz w:val="22"/>
                <w:szCs w:val="22"/>
                <w:lang w:val="pt-BR"/>
              </w:rPr>
              <w:t xml:space="preserve">vômitos e diarreia), </w:t>
            </w:r>
            <w:r w:rsidR="003A0F0B" w:rsidRPr="003B4F70">
              <w:rPr>
                <w:rFonts w:ascii="Calibri" w:hAnsi="Calibri"/>
                <w:sz w:val="22"/>
                <w:szCs w:val="22"/>
                <w:lang w:val="pt-BR"/>
              </w:rPr>
              <w:t>aumento transitório da</w:t>
            </w:r>
            <w:r w:rsidR="00A14ACB" w:rsidRPr="003B4F70">
              <w:rPr>
                <w:rFonts w:ascii="Calibri" w:hAnsi="Calibri"/>
                <w:sz w:val="22"/>
                <w:szCs w:val="22"/>
                <w:lang w:val="pt-BR"/>
              </w:rPr>
              <w:t>s aminotransferases</w:t>
            </w:r>
            <w:r w:rsidR="003A0F0B" w:rsidRPr="003B4F70">
              <w:rPr>
                <w:rFonts w:ascii="Calibri" w:hAnsi="Calibri"/>
                <w:sz w:val="22"/>
                <w:szCs w:val="22"/>
                <w:lang w:val="pt-BR"/>
              </w:rPr>
              <w:t xml:space="preserve">, e </w:t>
            </w:r>
            <w:r w:rsidR="00A14ACB" w:rsidRPr="003B4F70">
              <w:rPr>
                <w:rFonts w:ascii="Calibri" w:hAnsi="Calibri"/>
                <w:sz w:val="22"/>
                <w:szCs w:val="22"/>
                <w:lang w:val="pt-BR"/>
              </w:rPr>
              <w:t>exantemas</w:t>
            </w:r>
            <w:r w:rsidR="003A0F0B" w:rsidRPr="003B4F70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  <w:r w:rsidRPr="003B4F70">
              <w:rPr>
                <w:rFonts w:ascii="Calibri" w:hAnsi="Calibri"/>
                <w:sz w:val="22"/>
                <w:szCs w:val="22"/>
                <w:lang w:val="pt-BR"/>
              </w:rPr>
              <w:t>Tem efeitos limitados sobre elementos-traço como zinco.</w:t>
            </w:r>
          </w:p>
          <w:p w14:paraId="5F2A2D6E" w14:textId="77777777" w:rsidR="003B4F70" w:rsidRPr="001E4892" w:rsidRDefault="003B4F70" w:rsidP="00961DB5">
            <w:pPr>
              <w:pStyle w:val="PargrafodaLista"/>
              <w:numPr>
                <w:ilvl w:val="0"/>
                <w:numId w:val="62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1E489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Repetição de ciclos em crianças, com intervalos curtos, pode necessitar de monitoramento e eventual reposição de zinco e cobre.</w:t>
            </w:r>
          </w:p>
        </w:tc>
        <w:tc>
          <w:tcPr>
            <w:tcW w:w="859" w:type="pct"/>
          </w:tcPr>
          <w:p w14:paraId="701DCC18" w14:textId="50CD5417" w:rsidR="00DD15FF" w:rsidRDefault="00421E5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421E58"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  <w:t>Apresentação</w:t>
            </w:r>
            <w:r>
              <w:rPr>
                <w:rFonts w:ascii="Calibri" w:hAnsi="Calibri"/>
                <w:sz w:val="22"/>
                <w:szCs w:val="22"/>
                <w:u w:val="single"/>
                <w:lang w:val="pt-BR"/>
              </w:rPr>
              <w:t>:</w:t>
            </w:r>
            <w:r w:rsidRPr="005C3BA8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5C3BA8" w:rsidRPr="005C3BA8">
              <w:rPr>
                <w:rFonts w:ascii="Calibri" w:hAnsi="Calibri"/>
                <w:sz w:val="22"/>
                <w:szCs w:val="22"/>
                <w:lang w:val="pt-BR"/>
              </w:rPr>
              <w:t>cápsulas de 100 mg</w:t>
            </w:r>
            <w:r w:rsidR="005C3BA8">
              <w:rPr>
                <w:rFonts w:ascii="Calibri" w:hAnsi="Calibri"/>
                <w:sz w:val="22"/>
                <w:szCs w:val="22"/>
                <w:lang w:val="pt-BR"/>
              </w:rPr>
              <w:t xml:space="preserve"> e 300 mg, preparadas em farmácias magistrais</w:t>
            </w:r>
            <w:r w:rsidR="008B7199">
              <w:rPr>
                <w:rFonts w:ascii="Calibri" w:hAnsi="Calibri"/>
                <w:sz w:val="22"/>
                <w:szCs w:val="22"/>
                <w:lang w:val="pt-BR"/>
              </w:rPr>
              <w:t xml:space="preserve"> especializadas</w:t>
            </w:r>
            <w:r w:rsidR="005C3BA8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422BAD94" w14:textId="77777777" w:rsidR="000F7AC1" w:rsidRDefault="000F7AC1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Para o tratamento de crianças, também é possível a solicitação de preparo de soluções contendo 100 mg/ml.</w:t>
            </w:r>
          </w:p>
          <w:p w14:paraId="20AEE028" w14:textId="77777777" w:rsidR="005C3BA8" w:rsidRDefault="005C3BA8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  <w:p w14:paraId="6FDA2CC1" w14:textId="77777777" w:rsidR="005C3BA8" w:rsidRDefault="005C3BA8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5C3BA8"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  <w:t>Estoque mínimo:</w:t>
            </w:r>
            <w:r w:rsidRPr="005C3BA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1B328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10</w:t>
            </w:r>
            <w:r w:rsidRPr="005C3BA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0 cápsulas de 300 mg</w:t>
            </w:r>
            <w:r w:rsidR="00763D0B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(30 g)</w:t>
            </w:r>
            <w:r w:rsidRPr="005C3BA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</w:p>
          <w:p w14:paraId="1FF3DA3B" w14:textId="77777777" w:rsidR="000728AB" w:rsidRDefault="000728AB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</w:pPr>
          </w:p>
          <w:p w14:paraId="6C95DDE5" w14:textId="77777777" w:rsidR="000728AB" w:rsidRPr="005C3BA8" w:rsidRDefault="000728AB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</w:pPr>
          </w:p>
        </w:tc>
      </w:tr>
      <w:tr w:rsidR="00C11CD6" w:rsidRPr="00512BD6" w14:paraId="35631412" w14:textId="77777777" w:rsidTr="00961DB5">
        <w:tc>
          <w:tcPr>
            <w:tcW w:w="766" w:type="pct"/>
            <w:shd w:val="clear" w:color="auto" w:fill="auto"/>
          </w:tcPr>
          <w:p w14:paraId="48BBB6BC" w14:textId="77CC66DF" w:rsidR="00C11CD6" w:rsidRPr="006C070E" w:rsidRDefault="00D614B3" w:rsidP="00961DB5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60" w:name="_Toc125971533"/>
            <w:bookmarkStart w:id="61" w:name="_Toc126746430"/>
            <w:bookmarkStart w:id="62" w:name="_Toc126746579"/>
            <w:bookmarkStart w:id="63" w:name="_Toc126750591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EDETATO CÁLCICO DISSÓDICO</w:t>
            </w:r>
            <w:bookmarkStart w:id="64" w:name="_Hlk96611587"/>
            <w:bookmarkEnd w:id="60"/>
            <w:bookmarkEnd w:id="61"/>
            <w:bookmarkEnd w:id="62"/>
            <w:bookmarkEnd w:id="63"/>
            <w:r w:rsidRPr="006C070E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</w:t>
            </w:r>
            <w:r w:rsidR="00C11CD6" w:rsidRPr="006C070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(EDTACaNa</w:t>
            </w:r>
            <w:r w:rsidR="00C11CD6" w:rsidRPr="006C070E">
              <w:rPr>
                <w:rFonts w:ascii="Calibri" w:hAnsi="Calibri" w:cs="Calibri"/>
                <w:b/>
                <w:sz w:val="22"/>
                <w:szCs w:val="22"/>
                <w:vertAlign w:val="subscript"/>
                <w:lang w:val="pt-BR"/>
              </w:rPr>
              <w:t>2</w:t>
            </w:r>
            <w:r w:rsidR="00C11CD6" w:rsidRPr="006C070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), </w:t>
            </w:r>
            <w:bookmarkEnd w:id="64"/>
            <w:r w:rsidR="00C11CD6" w:rsidRPr="006C070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inj.</w:t>
            </w:r>
          </w:p>
          <w:p w14:paraId="645E18D2" w14:textId="77777777" w:rsidR="00C11CD6" w:rsidRPr="006B34C0" w:rsidRDefault="00C11CD6" w:rsidP="00961DB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  <w:p w14:paraId="08EB17EB" w14:textId="77777777" w:rsidR="00C11CD6" w:rsidRPr="006B34C0" w:rsidRDefault="00C11CD6" w:rsidP="00961DB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  <w:p w14:paraId="3E014DDD" w14:textId="77777777" w:rsidR="00C11CD6" w:rsidRPr="006B34C0" w:rsidRDefault="00C11CD6" w:rsidP="00961DB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  <w:p w14:paraId="5314F9AA" w14:textId="77777777" w:rsidR="00C11CD6" w:rsidRPr="006B34C0" w:rsidRDefault="00C11CD6" w:rsidP="00961DB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  <w:p w14:paraId="66BADB8D" w14:textId="77777777" w:rsidR="00C11CD6" w:rsidRPr="006B34C0" w:rsidRDefault="00C11CD6" w:rsidP="00961DB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  <w:p w14:paraId="2985A689" w14:textId="77777777" w:rsidR="00C11CD6" w:rsidRPr="006B34C0" w:rsidRDefault="00C11CD6" w:rsidP="00961DB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  <w:p w14:paraId="0752A858" w14:textId="77777777" w:rsidR="00C11CD6" w:rsidRPr="006B34C0" w:rsidRDefault="00C11CD6" w:rsidP="00961DB5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  <w:p w14:paraId="0910F1E4" w14:textId="77777777" w:rsidR="00C11CD6" w:rsidRPr="006B34C0" w:rsidRDefault="00C11CD6" w:rsidP="00961DB5">
            <w:p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1039" w:type="pct"/>
            <w:shd w:val="clear" w:color="auto" w:fill="auto"/>
          </w:tcPr>
          <w:p w14:paraId="6A1C7AF6" w14:textId="77777777" w:rsidR="00C11CD6" w:rsidRPr="004862E0" w:rsidRDefault="00C11CD6" w:rsidP="00961DB5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Intoxicações agudas/subagudas por chumbo inorgânico em adultos</w:t>
            </w:r>
          </w:p>
          <w:p w14:paraId="61A625FA" w14:textId="77777777" w:rsidR="00C11CD6" w:rsidRPr="004862E0" w:rsidRDefault="00C11CD6" w:rsidP="00961DB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14:paraId="3E0BD644" w14:textId="77777777" w:rsidR="00C11CD6" w:rsidRPr="004862E0" w:rsidRDefault="00C11CD6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Indicado em casos sintomáticos graves, nos quais o uso do DMSA por VO se mostre inviável nos primeiros dias de tratamento</w:t>
            </w:r>
            <w:r w:rsidRPr="004862E0">
              <w:rPr>
                <w:rFonts w:ascii="Calibri" w:hAnsi="Calibri" w:cs="Calibri"/>
                <w:sz w:val="22"/>
                <w:szCs w:val="22"/>
                <w:lang w:val="pt-BR"/>
              </w:rPr>
              <w:t>.</w:t>
            </w:r>
          </w:p>
        </w:tc>
        <w:tc>
          <w:tcPr>
            <w:tcW w:w="2336" w:type="pct"/>
          </w:tcPr>
          <w:p w14:paraId="6727BE80" w14:textId="77777777" w:rsidR="00C11CD6" w:rsidRPr="004862E0" w:rsidRDefault="001E4892" w:rsidP="00961DB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O </w:t>
            </w:r>
            <w:r w:rsidR="00C11CD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EDTACaNa</w:t>
            </w:r>
            <w:r w:rsidR="00C11CD6" w:rsidRPr="004862E0"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  <w:lang w:val="pt-BR"/>
              </w:rPr>
              <w:t xml:space="preserve">2 </w:t>
            </w:r>
            <w:r w:rsidR="00C11CD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quela o chumbo circulante ligando-o covalentemente</w:t>
            </w: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,</w:t>
            </w:r>
            <w:r w:rsidR="00C11CD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formando </w:t>
            </w: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um </w:t>
            </w:r>
            <w:r w:rsidR="00C11CD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anel quimicamente estável que é excretado pelos rins.</w:t>
            </w:r>
            <w:r w:rsidR="00C11CD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</w:p>
          <w:p w14:paraId="7AC41F7F" w14:textId="77777777" w:rsidR="00C11CD6" w:rsidRPr="004862E0" w:rsidRDefault="00C11CD6" w:rsidP="00961DB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sz w:val="22"/>
                <w:szCs w:val="22"/>
                <w:lang w:val="pt-BR"/>
              </w:rPr>
              <w:t>Disfunção renal não contraindica seu uso de forma absoluta, devendo-se reduzir a dose de acordo com o grau de insuficiência renal.</w:t>
            </w:r>
          </w:p>
          <w:p w14:paraId="50F933A9" w14:textId="77777777" w:rsidR="00C11CD6" w:rsidRPr="004862E0" w:rsidRDefault="00C11CD6" w:rsidP="00961DB5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t-BR"/>
              </w:rPr>
            </w:pPr>
          </w:p>
          <w:p w14:paraId="033FC339" w14:textId="77777777" w:rsidR="00C11CD6" w:rsidRPr="004862E0" w:rsidRDefault="00C11CD6" w:rsidP="00961DB5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Doses recomendadas</w:t>
            </w: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t-BR"/>
              </w:rPr>
              <w:t>:</w:t>
            </w:r>
          </w:p>
          <w:p w14:paraId="4031199B" w14:textId="77777777" w:rsidR="00BA4486" w:rsidRPr="004862E0" w:rsidRDefault="00C11CD6" w:rsidP="00961DB5">
            <w:pPr>
              <w:pStyle w:val="PargrafodaLista"/>
              <w:numPr>
                <w:ilvl w:val="0"/>
                <w:numId w:val="63"/>
              </w:num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Adultos</w:t>
            </w:r>
            <w:r w:rsidR="00B94B5E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e crianças</w:t>
            </w:r>
            <w:r w:rsidR="00BA4486" w:rsidRPr="004862E0">
              <w:rPr>
                <w:rFonts w:ascii="Calibri" w:hAnsi="Calibri" w:cs="Calibri"/>
                <w:sz w:val="22"/>
                <w:szCs w:val="22"/>
                <w:lang w:val="pt-BR"/>
              </w:rPr>
              <w:t>:</w:t>
            </w:r>
            <w:r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</w:p>
          <w:p w14:paraId="36B0161E" w14:textId="77777777" w:rsidR="00BA4486" w:rsidRPr="004862E0" w:rsidRDefault="00C11CD6" w:rsidP="00961DB5">
            <w:pPr>
              <w:pStyle w:val="PargrafodaLista"/>
              <w:numPr>
                <w:ilvl w:val="1"/>
                <w:numId w:val="63"/>
              </w:num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sz w:val="22"/>
                <w:szCs w:val="22"/>
                <w:lang w:val="pt-BR"/>
              </w:rPr>
              <w:t>15</w:t>
            </w:r>
            <w:r w:rsidR="00BA4486" w:rsidRPr="004862E0">
              <w:rPr>
                <w:rFonts w:ascii="Calibri" w:hAnsi="Calibri" w:cs="Calibri"/>
                <w:sz w:val="22"/>
                <w:szCs w:val="22"/>
                <w:lang w:val="pt-BR"/>
              </w:rPr>
              <w:t>-</w:t>
            </w:r>
            <w:r w:rsidRPr="004862E0">
              <w:rPr>
                <w:rFonts w:ascii="Calibri" w:hAnsi="Calibri" w:cs="Calibri"/>
                <w:sz w:val="22"/>
                <w:szCs w:val="22"/>
                <w:lang w:val="pt-BR"/>
              </w:rPr>
              <w:t>30mg/kg/dia em ciclos de no mínimo 5 dias ou por mais tempo dependendo da disponibilidade de dosagens de chumbo urinário durante o tratamento.</w:t>
            </w:r>
          </w:p>
          <w:p w14:paraId="1C4D6055" w14:textId="409B4DA0" w:rsidR="00C11CD6" w:rsidRPr="004862E0" w:rsidRDefault="00B94B5E">
            <w:pPr>
              <w:pStyle w:val="PargrafodaLista"/>
              <w:numPr>
                <w:ilvl w:val="1"/>
                <w:numId w:val="63"/>
              </w:num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sz w:val="22"/>
                <w:szCs w:val="22"/>
                <w:lang w:val="pt-BR"/>
              </w:rPr>
              <w:t>Em adultos, v</w:t>
            </w:r>
            <w:r w:rsidR="00C11CD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isando não haver perda de medicamento em função do cálculo por kg de peso, sugere-se o uso </w:t>
            </w:r>
            <w:r w:rsidRPr="004862E0">
              <w:rPr>
                <w:rFonts w:ascii="Calibri" w:hAnsi="Calibri" w:cs="Calibri"/>
                <w:sz w:val="22"/>
                <w:szCs w:val="22"/>
                <w:lang w:val="pt-BR"/>
              </w:rPr>
              <w:t>d</w:t>
            </w:r>
            <w:r w:rsidR="001E4892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 dose </w:t>
            </w:r>
            <w:r w:rsidR="00C11CD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de </w:t>
            </w:r>
            <w:r w:rsidR="00C11CD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1</w:t>
            </w:r>
            <w:r w:rsidR="00BA448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C11CD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g por dia</w:t>
            </w:r>
            <w:r w:rsidR="001E4892" w:rsidRPr="004862E0">
              <w:rPr>
                <w:rFonts w:ascii="Calibri" w:hAnsi="Calibri" w:cs="Calibri"/>
                <w:sz w:val="22"/>
                <w:szCs w:val="22"/>
                <w:lang w:val="pt-BR"/>
              </w:rPr>
              <w:t>,</w:t>
            </w:r>
            <w:r w:rsidR="00C11CD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dilu</w:t>
            </w:r>
            <w:r w:rsidR="00BA448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indo </w:t>
            </w:r>
            <w:r w:rsidR="00BA448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20 ml de</w:t>
            </w:r>
            <w:r w:rsidR="00BA448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BA448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EDTACaNa</w:t>
            </w:r>
            <w:r w:rsidR="00BA4486" w:rsidRPr="004862E0">
              <w:rPr>
                <w:rFonts w:ascii="Calibri" w:hAnsi="Calibri" w:cs="Calibri"/>
                <w:b/>
                <w:bCs/>
                <w:sz w:val="22"/>
                <w:szCs w:val="22"/>
                <w:vertAlign w:val="subscript"/>
                <w:lang w:val="pt-BR"/>
              </w:rPr>
              <w:t>2</w:t>
            </w:r>
            <w:r w:rsidR="00BA448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a 5% </w:t>
            </w:r>
            <w:r w:rsidR="00BA4486" w:rsidRPr="004862E0">
              <w:rPr>
                <w:rFonts w:ascii="Calibri" w:hAnsi="Calibri" w:cs="Calibri"/>
                <w:sz w:val="22"/>
                <w:szCs w:val="22"/>
                <w:lang w:val="pt-BR"/>
              </w:rPr>
              <w:t>(50 mg/ml)</w:t>
            </w:r>
            <w:r w:rsidR="00C11CD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em 500 m</w:t>
            </w:r>
            <w:r w:rsidR="00BA4486" w:rsidRPr="004862E0">
              <w:rPr>
                <w:rFonts w:ascii="Calibri" w:hAnsi="Calibri" w:cs="Calibri"/>
                <w:sz w:val="22"/>
                <w:szCs w:val="22"/>
                <w:lang w:val="pt-BR"/>
              </w:rPr>
              <w:t>l</w:t>
            </w:r>
            <w:r w:rsidR="00C11CD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de SF 0,9% ou SG 5%, </w:t>
            </w:r>
            <w:r w:rsidR="00BA448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para ser infundido </w:t>
            </w:r>
            <w:r w:rsidR="008B7199">
              <w:rPr>
                <w:rFonts w:ascii="Calibri" w:hAnsi="Calibri" w:cs="Calibri"/>
                <w:sz w:val="22"/>
                <w:szCs w:val="22"/>
                <w:lang w:val="pt-BR"/>
              </w:rPr>
              <w:t xml:space="preserve">IV </w:t>
            </w:r>
            <w:r w:rsidR="00C11CD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em 4h, </w:t>
            </w:r>
            <w:r w:rsidR="00BA448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durante </w:t>
            </w:r>
            <w:r w:rsidR="00C11CD6" w:rsidRPr="004862E0">
              <w:rPr>
                <w:rFonts w:ascii="Calibri" w:hAnsi="Calibri" w:cs="Calibri"/>
                <w:sz w:val="22"/>
                <w:szCs w:val="22"/>
                <w:lang w:val="pt-BR"/>
              </w:rPr>
              <w:t>5 dias</w:t>
            </w:r>
            <w:r w:rsidR="00BA448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consecutivos</w:t>
            </w:r>
            <w:r w:rsidR="00C11CD6"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C11CD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(</w:t>
            </w:r>
            <w:r w:rsidR="00BA448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1 g/dia, </w:t>
            </w:r>
            <w:r w:rsidR="00C11CD6" w:rsidRPr="004862E0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total de 5g).</w:t>
            </w:r>
          </w:p>
        </w:tc>
        <w:tc>
          <w:tcPr>
            <w:tcW w:w="859" w:type="pct"/>
          </w:tcPr>
          <w:p w14:paraId="5F7551C7" w14:textId="77777777" w:rsidR="00C11CD6" w:rsidRPr="004862E0" w:rsidRDefault="00C11CD6" w:rsidP="00961DB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4862E0">
              <w:rPr>
                <w:rFonts w:ascii="Calibri" w:hAnsi="Calibri" w:cs="Calibri"/>
                <w:sz w:val="22"/>
                <w:szCs w:val="22"/>
                <w:lang w:val="pt-BR"/>
              </w:rPr>
              <w:t>: ampolas com 10 ml de EDTACaNa</w:t>
            </w:r>
            <w:r w:rsidRPr="004862E0">
              <w:rPr>
                <w:rFonts w:ascii="Calibri" w:hAnsi="Calibri" w:cs="Calibri"/>
                <w:sz w:val="22"/>
                <w:szCs w:val="22"/>
                <w:vertAlign w:val="subscript"/>
                <w:lang w:val="pt-BR"/>
              </w:rPr>
              <w:t>2</w:t>
            </w:r>
            <w:r w:rsidRPr="004862E0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a 5% (500 mg, 50 mg/ml). </w:t>
            </w:r>
          </w:p>
          <w:p w14:paraId="32CF2246" w14:textId="77777777" w:rsidR="00C11CD6" w:rsidRPr="004862E0" w:rsidRDefault="00C11CD6" w:rsidP="00961DB5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u w:val="single"/>
                <w:lang w:val="pt-BR"/>
              </w:rPr>
            </w:pPr>
          </w:p>
          <w:p w14:paraId="4F62AF3F" w14:textId="77777777" w:rsidR="00C11CD6" w:rsidRPr="00E00D19" w:rsidRDefault="00C11CD6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E00D19">
              <w:rPr>
                <w:rFonts w:ascii="Calibri" w:hAnsi="Calibri" w:cs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E00D19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: </w:t>
            </w:r>
            <w:r w:rsidRPr="00E00D19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10 ampolas (5 g).</w:t>
            </w:r>
          </w:p>
          <w:p w14:paraId="17E9D93C" w14:textId="77777777" w:rsidR="00C11CD6" w:rsidRPr="004862E0" w:rsidRDefault="00C11CD6" w:rsidP="00961DB5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t-BR"/>
              </w:rPr>
            </w:pPr>
          </w:p>
          <w:p w14:paraId="7C6B2478" w14:textId="77777777" w:rsidR="00C11CD6" w:rsidRPr="004862E0" w:rsidRDefault="00C11CD6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u w:val="single"/>
                <w:lang w:val="pt-BR"/>
              </w:rPr>
            </w:pPr>
          </w:p>
        </w:tc>
      </w:tr>
      <w:tr w:rsidR="00C11CD6" w:rsidRPr="00862C21" w14:paraId="76186F76" w14:textId="77777777" w:rsidTr="00961DB5">
        <w:tc>
          <w:tcPr>
            <w:tcW w:w="766" w:type="pct"/>
            <w:shd w:val="clear" w:color="auto" w:fill="auto"/>
          </w:tcPr>
          <w:p w14:paraId="3505BAF3" w14:textId="0DE94FFC" w:rsidR="00C11CD6" w:rsidRPr="006C070E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65" w:name="_Toc125971534"/>
            <w:bookmarkStart w:id="66" w:name="_Toc126746431"/>
            <w:bookmarkStart w:id="67" w:name="_Toc126746580"/>
            <w:bookmarkStart w:id="68" w:name="_Toc126750592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EMULSÃO LIPÍDICA</w:t>
            </w:r>
            <w:bookmarkEnd w:id="65"/>
            <w:bookmarkEnd w:id="66"/>
            <w:bookmarkEnd w:id="67"/>
            <w:bookmarkEnd w:id="68"/>
          </w:p>
        </w:tc>
        <w:tc>
          <w:tcPr>
            <w:tcW w:w="1039" w:type="pct"/>
            <w:shd w:val="clear" w:color="auto" w:fill="auto"/>
          </w:tcPr>
          <w:p w14:paraId="37E1CFE6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C1DF1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Intoxicações graves por anestésicos locais, principalmente bupivacaína, que evoluem com arritmias ameaçadoras à vida ou colapso cardiovascular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. No caso de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parada cardiorrespiratória (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PCR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, pode ser administrada junto com as manobras de ressuscitação cardiopulmonar (RCP). </w:t>
            </w:r>
          </w:p>
          <w:p w14:paraId="6CF1794D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C1DF1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Pode ser considerada, também, após consulta ao CIATox, em outras intoxicações graves por xenobióticos lipossolúveis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que evoluem com </w:t>
            </w:r>
            <w:r w:rsidRPr="008564F6">
              <w:rPr>
                <w:rFonts w:ascii="Calibri" w:hAnsi="Calibri"/>
                <w:sz w:val="22"/>
                <w:szCs w:val="22"/>
                <w:lang w:val="pt-BR"/>
              </w:rPr>
              <w:t xml:space="preserve">instabilidade hemodinâmica refratária à RCP, como por </w:t>
            </w:r>
            <w:r w:rsidRPr="006C1DF1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bupropiona e amitriptilina </w:t>
            </w:r>
            <w:r w:rsidRPr="006C1DF1">
              <w:rPr>
                <w:rFonts w:ascii="Calibri" w:eastAsia="Calibri" w:hAnsi="Calibri" w:cs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e em intoxicações graves por glifosato.</w:t>
            </w:r>
            <w:r w:rsidRPr="006C1DF1">
              <w:rPr>
                <w:rFonts w:ascii="Calibri" w:hAnsi="Calibri"/>
                <w:color w:val="C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36" w:type="pct"/>
          </w:tcPr>
          <w:p w14:paraId="06C77B82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Os três mecanismos básicos que suportam a indicação de emulsões lipídicas nas exposições tóxicas incluem:</w:t>
            </w:r>
          </w:p>
          <w:p w14:paraId="2DD9D982" w14:textId="77777777" w:rsidR="00C11CD6" w:rsidRDefault="00C11CD6" w:rsidP="00961DB5">
            <w:pPr>
              <w:pStyle w:val="PargrafodaLista"/>
              <w:numPr>
                <w:ilvl w:val="0"/>
                <w:numId w:val="48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</w:t>
            </w: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formação de um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“</w:t>
            </w: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compartimento lipídico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”</w:t>
            </w: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no qual compostos lipossolúveis se dissolvem e menos droga permanece disponível para os tecidos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(efeitos esponja e de um conduto lipídico);</w:t>
            </w:r>
          </w:p>
          <w:p w14:paraId="197A1B4F" w14:textId="77777777" w:rsidR="00C11CD6" w:rsidRPr="001A1FDE" w:rsidRDefault="00C11CD6" w:rsidP="00961DB5">
            <w:pPr>
              <w:pStyle w:val="PargrafodaLista"/>
              <w:numPr>
                <w:ilvl w:val="0"/>
                <w:numId w:val="48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Aument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 da</w:t>
            </w: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oferta de substrato energético para o miocárdio, uma vez q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ue os a</w:t>
            </w: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nestésicos locais prejudicam o transporte de ácidos graxos pela membrana mitocondrial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;</w:t>
            </w:r>
          </w:p>
          <w:p w14:paraId="7C765952" w14:textId="77777777" w:rsidR="00C11CD6" w:rsidRPr="001A1FDE" w:rsidRDefault="00C11CD6" w:rsidP="00961DB5">
            <w:pPr>
              <w:pStyle w:val="PargrafodaLista"/>
              <w:numPr>
                <w:ilvl w:val="0"/>
                <w:numId w:val="48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Melhora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</w:t>
            </w: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 função cardíaca por aumento do cálcio intracelular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devido </w:t>
            </w: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abertura dos canais de cálcio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dependentes de </w:t>
            </w: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voltagem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</w:p>
          <w:p w14:paraId="634DA4C2" w14:textId="77777777" w:rsidR="00C11CD6" w:rsidRPr="001A1F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1A1F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34B69DFD" w14:textId="77777777" w:rsidR="00C11CD6" w:rsidRPr="00F01F4A" w:rsidRDefault="00C11CD6" w:rsidP="00961DB5">
            <w:pPr>
              <w:pStyle w:val="PargrafodaLista"/>
              <w:numPr>
                <w:ilvl w:val="0"/>
                <w:numId w:val="48"/>
              </w:numPr>
              <w:spacing w:line="276" w:lineRule="auto"/>
              <w:jc w:val="left"/>
              <w:rPr>
                <w:rFonts w:ascii="Calibri" w:hAnsi="Calibri"/>
                <w:color w:val="C00000"/>
                <w:sz w:val="22"/>
                <w:szCs w:val="22"/>
                <w:u w:val="single"/>
                <w:lang w:val="pt-BR"/>
              </w:rPr>
            </w:pPr>
            <w:r w:rsidRPr="00F01F4A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No tratamento há preferência por emulsões lipídicas a 20% contendo triglicérides de cadeia longa (TCL, 12 ou mais carbonos; Intralipid</w:t>
            </w:r>
            <w:r w:rsidRPr="00F01F4A">
              <w:rPr>
                <w:rFonts w:ascii="Calibri" w:hAnsi="Calibri"/>
                <w:b/>
                <w:bCs/>
                <w:color w:val="C00000"/>
                <w:sz w:val="22"/>
                <w:szCs w:val="22"/>
                <w:vertAlign w:val="superscript"/>
                <w:lang w:val="pt-BR"/>
              </w:rPr>
              <w:t>R</w:t>
            </w:r>
            <w:r w:rsidRPr="00F01F4A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). </w:t>
            </w:r>
          </w:p>
          <w:p w14:paraId="5CD7C1E2" w14:textId="77777777" w:rsidR="00C11CD6" w:rsidRPr="00F01F4A" w:rsidRDefault="00C11CD6" w:rsidP="00961DB5">
            <w:pPr>
              <w:pStyle w:val="PargrafodaLista"/>
              <w:numPr>
                <w:ilvl w:val="0"/>
                <w:numId w:val="48"/>
              </w:num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</w:pPr>
            <w:r w:rsidRPr="00F01F4A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Caso o Intralipid</w:t>
            </w:r>
            <w:r w:rsidRPr="00F01F4A">
              <w:rPr>
                <w:rFonts w:ascii="Calibri" w:hAnsi="Calibri"/>
                <w:b/>
                <w:color w:val="C00000"/>
                <w:sz w:val="22"/>
                <w:szCs w:val="22"/>
                <w:vertAlign w:val="superscript"/>
                <w:lang w:val="pt-BR"/>
              </w:rPr>
              <w:t>R</w:t>
            </w:r>
            <w:r w:rsidRPr="00F01F4A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não esteja disponível, pode ser empregado o Lipovenos</w:t>
            </w:r>
            <w:r w:rsidRPr="00F01F4A">
              <w:rPr>
                <w:rFonts w:ascii="Calibri" w:hAnsi="Calibri"/>
                <w:b/>
                <w:color w:val="C00000"/>
                <w:sz w:val="22"/>
                <w:szCs w:val="22"/>
                <w:vertAlign w:val="superscript"/>
                <w:lang w:val="pt-BR"/>
              </w:rPr>
              <w:t>R</w:t>
            </w:r>
            <w:r w:rsidRPr="00F01F4A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a 20% (50% TCL e 50% TCM).</w:t>
            </w:r>
          </w:p>
          <w:p w14:paraId="5C35E62C" w14:textId="77777777" w:rsidR="00C11CD6" w:rsidRPr="003C3C54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1ACC157B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A61A02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Iniciar com infusão em </w:t>
            </w:r>
            <w:r w:rsidRPr="00A61A02"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>bolus</w:t>
            </w:r>
            <w:r w:rsidRPr="00A61A02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de 1,5 ml/kg em 1-3 minutos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</w:p>
          <w:p w14:paraId="2260CDF3" w14:textId="77777777" w:rsidR="00C11CD6" w:rsidRPr="007937DE" w:rsidRDefault="00C11CD6" w:rsidP="00961DB5"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Caso não ocorra resposta satisfatória, repetir </w:t>
            </w:r>
            <w:r w:rsidRPr="007937DE">
              <w:rPr>
                <w:rFonts w:ascii="Calibri" w:hAnsi="Calibri"/>
                <w:i/>
                <w:sz w:val="22"/>
                <w:szCs w:val="22"/>
                <w:lang w:val="pt-BR"/>
              </w:rPr>
              <w:t>bolus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de 1,5 ml/kg ou iniciar infusão contínua de 0,25 ml/kg/minuto,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para correr em 20-30 minutos,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não ultrapassando a dose máxima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total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de 10 ml/kg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ou 500 ml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</w:tc>
        <w:tc>
          <w:tcPr>
            <w:tcW w:w="859" w:type="pct"/>
          </w:tcPr>
          <w:p w14:paraId="76C9BAF1" w14:textId="77777777" w:rsidR="00C11CD6" w:rsidRPr="00F03B8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 xml:space="preserve">Apresentação: </w:t>
            </w:r>
          </w:p>
          <w:p w14:paraId="34159D52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Intralipid</w:t>
            </w:r>
            <w:r w:rsidRPr="007937DE">
              <w:rPr>
                <w:rFonts w:ascii="Calibri" w:hAnsi="Calibri"/>
                <w:sz w:val="22"/>
                <w:szCs w:val="22"/>
                <w:vertAlign w:val="superscript"/>
                <w:lang w:val="pt-BR"/>
              </w:rPr>
              <w:t>R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a 20% (frascos de vidro de 250 ml e 500 ml).</w:t>
            </w:r>
          </w:p>
          <w:p w14:paraId="3C4130AD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Lipovenos</w:t>
            </w:r>
            <w:r w:rsidRPr="006D685F">
              <w:rPr>
                <w:rFonts w:ascii="Calibri" w:hAnsi="Calibri"/>
                <w:sz w:val="22"/>
                <w:szCs w:val="22"/>
                <w:vertAlign w:val="superscript"/>
                <w:lang w:val="pt-BR"/>
              </w:rPr>
              <w:t>R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a 20% (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frascos de vidro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de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500 ml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).</w:t>
            </w:r>
          </w:p>
          <w:p w14:paraId="2BF5272E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  <w:p w14:paraId="76ECCA60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Deve ser armazenada em temperaturas &lt; 25</w:t>
            </w:r>
            <w:r w:rsidRPr="007937DE">
              <w:rPr>
                <w:rFonts w:ascii="Calibri" w:hAnsi="Calibri"/>
                <w:b/>
                <w:i/>
                <w:sz w:val="22"/>
                <w:szCs w:val="22"/>
                <w:vertAlign w:val="superscript"/>
                <w:lang w:val="pt-BR"/>
              </w:rPr>
              <w:t>o</w:t>
            </w: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 C, evitando o congelamento. Emulsões congeladas devem ser descartadas. </w:t>
            </w:r>
          </w:p>
          <w:p w14:paraId="751CCDB1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  <w:p w14:paraId="6D0BF336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3 frascos de 500 ml (1500 ml).</w:t>
            </w:r>
          </w:p>
          <w:p w14:paraId="7E7E5ED1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4BBEE9B4" w14:textId="77777777" w:rsidR="00C11CD6" w:rsidRPr="007937DE" w:rsidRDefault="00C11CD6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</w:tc>
      </w:tr>
      <w:tr w:rsidR="00C11CD6" w:rsidRPr="0089272C" w14:paraId="194BB0F3" w14:textId="77777777" w:rsidTr="00961DB5">
        <w:tc>
          <w:tcPr>
            <w:tcW w:w="766" w:type="pct"/>
            <w:shd w:val="clear" w:color="auto" w:fill="auto"/>
          </w:tcPr>
          <w:p w14:paraId="2278F03D" w14:textId="33EE0DF4" w:rsidR="00C11CD6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69" w:name="_Toc125971535"/>
            <w:bookmarkStart w:id="70" w:name="_Toc126746432"/>
            <w:bookmarkStart w:id="71" w:name="_Toc126746581"/>
            <w:bookmarkStart w:id="72" w:name="_Toc126750593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ETANOL</w:t>
            </w:r>
            <w:bookmarkEnd w:id="69"/>
            <w:bookmarkEnd w:id="70"/>
            <w:bookmarkEnd w:id="71"/>
            <w:bookmarkEnd w:id="72"/>
            <w:r w:rsidRPr="006B34C0">
              <w:rPr>
                <w:rStyle w:val="Ttulo2Char"/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C11CD6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(álcool absoluto), inj.</w:t>
            </w:r>
          </w:p>
        </w:tc>
        <w:tc>
          <w:tcPr>
            <w:tcW w:w="1039" w:type="pct"/>
            <w:shd w:val="clear" w:color="auto" w:fill="auto"/>
          </w:tcPr>
          <w:p w14:paraId="14A51D11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Metanol, etilenoglicol</w:t>
            </w: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. </w:t>
            </w:r>
          </w:p>
          <w:p w14:paraId="1D58E4E7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Também pode ser empregado nas intoxicações por outros álcoois tóxicos como 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dietilenoglicol</w:t>
            </w: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e butilglicol.</w:t>
            </w:r>
          </w:p>
          <w:p w14:paraId="76522F95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49F853C6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</w:tcPr>
          <w:p w14:paraId="56B2BB74" w14:textId="77777777" w:rsidR="00C11CD6" w:rsidRPr="00483E69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483E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Etanol atua como um inibidor competitivo da enzima álcool desidrogenase, bloqueando a formação de metabólitos tóxicos</w:t>
            </w:r>
            <w:r w:rsidRPr="00483E6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483E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do metanol, etilenoglicol, dietilenoglicol e butilglicol.  </w:t>
            </w:r>
          </w:p>
          <w:p w14:paraId="21CE39E4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7F8FB71E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Solução injetável de etanol a 10% (administração IV).</w:t>
            </w:r>
          </w:p>
          <w:p w14:paraId="4770EB31" w14:textId="77777777" w:rsidR="00C11CD6" w:rsidRPr="00F01F4A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  <w:r w:rsidRPr="00F01F4A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Para se obter uma solução de etanol a 10% para uso IV deve se diluir 100 ml de álcool absoluto (etanol a 100%) em 900 ml de SG 5%.</w:t>
            </w:r>
          </w:p>
          <w:p w14:paraId="51FB82DA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38D7CD0C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Dose de ataque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= infundir 8 ml/kg (800 mg/kg) em 20 a 60 minutos. </w:t>
            </w:r>
          </w:p>
          <w:p w14:paraId="49E215C2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Dose de manutenção:</w:t>
            </w:r>
          </w:p>
          <w:p w14:paraId="01698980" w14:textId="77777777" w:rsidR="00C11CD6" w:rsidRPr="007937DE" w:rsidRDefault="00C11CD6" w:rsidP="00961DB5"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Não alcoolista: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0,8-1,3 ml/kg/h (80-130 mg/kg/h);</w:t>
            </w:r>
          </w:p>
          <w:p w14:paraId="48CC94B1" w14:textId="77777777" w:rsidR="00C11CD6" w:rsidRPr="007937DE" w:rsidRDefault="00C11CD6" w:rsidP="00961DB5"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Tolerante ao álcool (alcoolista)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1,5 ml/kg/h (150 mg/kg/h); </w:t>
            </w:r>
          </w:p>
          <w:p w14:paraId="6B71360C" w14:textId="77777777" w:rsidR="00C11CD6" w:rsidRPr="007937DE" w:rsidRDefault="00C11CD6" w:rsidP="00961DB5"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Hemodiálise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= 2,5-3,5 ml/kg/h (250-350 mg/kg/h).</w:t>
            </w:r>
          </w:p>
          <w:p w14:paraId="7133574D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</w:p>
          <w:p w14:paraId="59A9295F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O objetivo da terapêutica visa manter uma etanolemia de 100 a 150 mg/dl</w:t>
            </w: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 (estado de embriaguez leve a moderada).</w:t>
            </w:r>
          </w:p>
        </w:tc>
        <w:tc>
          <w:tcPr>
            <w:tcW w:w="859" w:type="pct"/>
          </w:tcPr>
          <w:p w14:paraId="49A4F9DA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Ampolas de 10 ml de álcool absoluto (etanol 100%).</w:t>
            </w:r>
          </w:p>
          <w:p w14:paraId="5911FFF4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229512BA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="00E73278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 xml:space="preserve"> para um tratamento de 24 h</w:t>
            </w: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30 ampolas de álcool absoluto</w:t>
            </w:r>
            <w:r w:rsidR="00E73278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(300 g)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4BFC304D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3CDD8532" w14:textId="77777777" w:rsidR="00C11CD6" w:rsidRPr="007937DE" w:rsidRDefault="00C11CD6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</w:tc>
      </w:tr>
      <w:tr w:rsidR="00C11CD6" w:rsidRPr="0089272C" w14:paraId="4E000AA2" w14:textId="77777777" w:rsidTr="00961DB5">
        <w:tc>
          <w:tcPr>
            <w:tcW w:w="766" w:type="pct"/>
            <w:shd w:val="clear" w:color="auto" w:fill="auto"/>
          </w:tcPr>
          <w:p w14:paraId="07D00F55" w14:textId="77777777" w:rsidR="00C11CD6" w:rsidRPr="006C070E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6C070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ETANOL </w:t>
            </w:r>
            <w:r w:rsidR="00C11CD6" w:rsidRPr="006C070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para uso VO ou por SNG. </w:t>
            </w:r>
          </w:p>
          <w:p w14:paraId="53E8D412" w14:textId="77777777" w:rsidR="00C11CD6" w:rsidRPr="006B34C0" w:rsidRDefault="00C11CD6" w:rsidP="00961DB5">
            <w:p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  <w:p w14:paraId="261C861D" w14:textId="77777777" w:rsidR="00C11CD6" w:rsidRPr="00973196" w:rsidRDefault="00C11CD6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973196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Teor alcoólico de bebidas destiladas contendo etanol: </w:t>
            </w:r>
          </w:p>
          <w:p w14:paraId="2F51DCA1" w14:textId="77777777" w:rsidR="00C11CD6" w:rsidRPr="00973196" w:rsidRDefault="00C11CD6" w:rsidP="00961DB5">
            <w:pPr>
              <w:numPr>
                <w:ilvl w:val="0"/>
                <w:numId w:val="15"/>
              </w:num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973196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Vodca: 40%</w:t>
            </w:r>
          </w:p>
          <w:p w14:paraId="7289DB03" w14:textId="77777777" w:rsidR="00C11CD6" w:rsidRPr="00973196" w:rsidRDefault="00C11CD6" w:rsidP="00961DB5">
            <w:pPr>
              <w:numPr>
                <w:ilvl w:val="0"/>
                <w:numId w:val="15"/>
              </w:num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973196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Cachaça: 38-48%</w:t>
            </w:r>
          </w:p>
          <w:p w14:paraId="2DA3E9B8" w14:textId="77777777" w:rsidR="00C11CD6" w:rsidRPr="006B34C0" w:rsidRDefault="00C11CD6" w:rsidP="00961DB5">
            <w:pPr>
              <w:numPr>
                <w:ilvl w:val="0"/>
                <w:numId w:val="15"/>
              </w:num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973196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Whisky: 38-54%</w:t>
            </w:r>
          </w:p>
        </w:tc>
        <w:tc>
          <w:tcPr>
            <w:tcW w:w="1039" w:type="pct"/>
            <w:shd w:val="clear" w:color="auto" w:fill="auto"/>
          </w:tcPr>
          <w:p w14:paraId="0449F36A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Metanol, etilenoglicol</w:t>
            </w: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. </w:t>
            </w:r>
          </w:p>
          <w:p w14:paraId="240BEC7F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Também pode ser empregado nas intoxicações por outros álcoois tóxicos como 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dietilenoglicol</w:t>
            </w: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e butilglicol.</w:t>
            </w:r>
          </w:p>
          <w:p w14:paraId="787C8672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5C3EBA19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</w:tcPr>
          <w:p w14:paraId="6D76467E" w14:textId="77777777" w:rsidR="00C11CD6" w:rsidRPr="00483E69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483E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Etanol atua como um inibidor competitivo da enzima álcool desidrogenase, bloqueando a formação de metabólitos tóxicos</w:t>
            </w:r>
            <w:r w:rsidRPr="00483E6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483E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do metanol, etilenoglicol, dietilenoglicol e butilglicol.  </w:t>
            </w:r>
          </w:p>
          <w:p w14:paraId="6D7B41D0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2C98B416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Solução de etanol a 20% para administração VO ou por SNG.</w:t>
            </w:r>
          </w:p>
          <w:p w14:paraId="79417CA4" w14:textId="77777777" w:rsidR="00C11CD6" w:rsidRPr="00F01F4A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  <w:r w:rsidRPr="00F01F4A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Para se obter uma solução a 20% de etanol para uso VO/SNG pode se diluir 500 ml de vodca (40% de etanol) em 500 ml de água ou suco de laranja.</w:t>
            </w:r>
          </w:p>
          <w:p w14:paraId="605798CF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1B8E3982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Dose de ataque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= 4 ml/kg (800 mg/kg). </w:t>
            </w:r>
          </w:p>
          <w:p w14:paraId="3A40F0D1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Dose de manutenção:</w:t>
            </w:r>
          </w:p>
          <w:p w14:paraId="68634B6E" w14:textId="77777777" w:rsidR="00C11CD6" w:rsidRPr="007937DE" w:rsidRDefault="00C11CD6" w:rsidP="00961DB5"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Não alcoolista: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0,4-0,66 ml/kg/h (80-130 mg/kg/h);</w:t>
            </w:r>
          </w:p>
          <w:p w14:paraId="44519C11" w14:textId="77777777" w:rsidR="00C11CD6" w:rsidRPr="007937DE" w:rsidRDefault="00C11CD6" w:rsidP="00961DB5"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Tolerante ao álcool (alcoolista)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0,75 ml/kg/h (150 mg/kg/h); </w:t>
            </w:r>
          </w:p>
          <w:p w14:paraId="09DD219B" w14:textId="77777777" w:rsidR="00C11CD6" w:rsidRPr="007937DE" w:rsidRDefault="00C11CD6" w:rsidP="00961DB5"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Hemodiálise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= 1,25-1,75 ml/kg/h (250-350 mg/kg/h).</w:t>
            </w:r>
          </w:p>
          <w:p w14:paraId="035EDA3B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</w:p>
          <w:p w14:paraId="68E6AF45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O objetivo da terapêutica visa manter uma etanolemia de 100 a 150 mg/dl</w:t>
            </w: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 (estado de embriaguez leve a moderada).</w:t>
            </w:r>
          </w:p>
        </w:tc>
        <w:tc>
          <w:tcPr>
            <w:tcW w:w="859" w:type="pct"/>
          </w:tcPr>
          <w:p w14:paraId="74DEDFDA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Destilados com etanol a 40% (vodca), </w:t>
            </w:r>
          </w:p>
          <w:p w14:paraId="253E9CB7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6E0EEF52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1 litro de vod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c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a.</w:t>
            </w:r>
          </w:p>
        </w:tc>
      </w:tr>
      <w:tr w:rsidR="00C11CD6" w:rsidRPr="00512BD6" w14:paraId="557D5A05" w14:textId="77777777" w:rsidTr="00961DB5">
        <w:tc>
          <w:tcPr>
            <w:tcW w:w="766" w:type="pct"/>
            <w:shd w:val="clear" w:color="auto" w:fill="auto"/>
          </w:tcPr>
          <w:p w14:paraId="72A4CDC7" w14:textId="5BE82095" w:rsidR="00C11CD6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73" w:name="_Toc125971536"/>
            <w:bookmarkStart w:id="74" w:name="_Toc126746433"/>
            <w:bookmarkStart w:id="75" w:name="_Toc126746582"/>
            <w:bookmarkStart w:id="76" w:name="_Toc126750594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FLUMAZENIL</w:t>
            </w:r>
            <w:r w:rsidR="00C11CD6"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,</w:t>
            </w:r>
            <w:bookmarkEnd w:id="73"/>
            <w:bookmarkEnd w:id="74"/>
            <w:bookmarkEnd w:id="75"/>
            <w:bookmarkEnd w:id="76"/>
            <w:r w:rsidR="00C11CD6" w:rsidRPr="006B34C0">
              <w:rPr>
                <w:rStyle w:val="Ttulo2Char"/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C11CD6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inj.</w:t>
            </w:r>
          </w:p>
        </w:tc>
        <w:tc>
          <w:tcPr>
            <w:tcW w:w="1039" w:type="pct"/>
            <w:shd w:val="clear" w:color="auto" w:fill="auto"/>
          </w:tcPr>
          <w:p w14:paraId="37773ED5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Geralmente indicado apenas para reversão do efeito sedativo dos benzodiazepínicos (BZD) em procedimentos anestésicos. </w:t>
            </w:r>
          </w:p>
          <w:p w14:paraId="74B24ED0" w14:textId="77777777" w:rsidR="00C11CD6" w:rsidRPr="003E3A5B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u w:val="single"/>
                <w:lang w:val="pt-BR"/>
              </w:rPr>
            </w:pPr>
            <w:r w:rsidRPr="003E3A5B">
              <w:rPr>
                <w:rFonts w:ascii="Calibri" w:hAnsi="Calibri"/>
                <w:b/>
                <w:i/>
                <w:sz w:val="22"/>
                <w:szCs w:val="22"/>
                <w:u w:val="single"/>
                <w:lang w:val="pt-BR"/>
              </w:rPr>
              <w:t xml:space="preserve">Indicação questionável, pelos riscos, mesmo nas intoxicações exclusivas por BZD. </w:t>
            </w:r>
          </w:p>
          <w:p w14:paraId="77866ECE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</w:p>
          <w:p w14:paraId="7B55CEBE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 xml:space="preserve"> </w:t>
            </w:r>
          </w:p>
        </w:tc>
        <w:tc>
          <w:tcPr>
            <w:tcW w:w="2336" w:type="pct"/>
          </w:tcPr>
          <w:p w14:paraId="25E93D3F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Os BZD atuam nos receptores BZD/GABA</w:t>
            </w:r>
            <w:r w:rsidRPr="00F2777B">
              <w:rPr>
                <w:rFonts w:ascii="Calibri" w:hAnsi="Calibri"/>
                <w:b/>
                <w:sz w:val="22"/>
                <w:szCs w:val="22"/>
                <w:vertAlign w:val="subscript"/>
                <w:lang w:val="pt-BR"/>
              </w:rPr>
              <w:t>A2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. </w:t>
            </w:r>
            <w:r w:rsidRPr="00F2777B">
              <w:rPr>
                <w:rFonts w:ascii="Calibri" w:hAnsi="Calibri"/>
                <w:b/>
                <w:sz w:val="22"/>
                <w:szCs w:val="22"/>
                <w:lang w:val="pt-BR"/>
              </w:rPr>
              <w:t>O receptor BZD modula o efeito do GABA no receptor GABA</w:t>
            </w:r>
            <w:r w:rsidRPr="00F2777B">
              <w:rPr>
                <w:rFonts w:ascii="Calibri" w:hAnsi="Calibri"/>
                <w:b/>
                <w:sz w:val="22"/>
                <w:szCs w:val="22"/>
                <w:vertAlign w:val="subscript"/>
                <w:lang w:val="pt-BR"/>
              </w:rPr>
              <w:t>A</w:t>
            </w:r>
            <w:r w:rsidRPr="00F2777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aumentando a frequência da abertura dos </w:t>
            </w:r>
            <w:r w:rsidRPr="00F2777B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canais de </w:t>
            </w:r>
            <w:r w:rsidR="0044421B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</w:t>
            </w:r>
            <w:r w:rsidRPr="00F2777B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l</w:t>
            </w:r>
            <w:r w:rsidR="0044421B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oro</w:t>
            </w:r>
            <w:r w:rsidRPr="00F2777B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>-</w:t>
            </w:r>
            <w:r w:rsidRPr="00F2777B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F2777B">
              <w:rPr>
                <w:rFonts w:ascii="Calibri" w:hAnsi="Calibri"/>
                <w:b/>
                <w:sz w:val="22"/>
                <w:szCs w:val="22"/>
                <w:lang w:val="pt-BR"/>
              </w:rPr>
              <w:t>levando a hiperpolarização.</w:t>
            </w:r>
          </w:p>
          <w:p w14:paraId="7FDF54DA" w14:textId="77777777" w:rsidR="00C11CD6" w:rsidRPr="00F2777B" w:rsidRDefault="00C11CD6" w:rsidP="00961DB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O </w:t>
            </w:r>
            <w:r w:rsidRPr="00F2777B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flumazenil</w:t>
            </w:r>
            <w:r w:rsidRPr="00F2777B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é um antagonista competitivo dos receptores BZD, não causando alterações funcionais aos receptores</w:t>
            </w:r>
            <w:r w:rsidRPr="00F2777B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Pr="00F2777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Se liga a um sítio distinto do GABA, tornando o receptor com afinidade reduzida ao GABA e mantendo o canal de cloro fechado. </w:t>
            </w:r>
          </w:p>
          <w:p w14:paraId="35C72D86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352A511C" w14:textId="77777777" w:rsidR="00C11CD6" w:rsidRPr="0027061C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</w:pPr>
            <w:r w:rsidRPr="0027061C"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  <w:t>INDICAÇÃO RESTRITA ÀS INTOXICAÇÕES EXCLUSIVAS POR BZD QUE CURSAM COM IMPORTANTE DEPRESSÃO NEUROLÓGICA COM COMPROMETIMENTO DA VENTILAÇÃO.</w:t>
            </w:r>
          </w:p>
          <w:p w14:paraId="33767A70" w14:textId="77777777" w:rsidR="00C11CD6" w:rsidRPr="0027061C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</w:pPr>
          </w:p>
          <w:p w14:paraId="6343D74D" w14:textId="77777777" w:rsidR="00C11CD6" w:rsidRPr="0027061C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</w:pPr>
            <w:r w:rsidRPr="0027061C"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  <w:t>CONTRAINDICAÇÃO FORMAL:</w:t>
            </w:r>
            <w:r w:rsidRPr="0027061C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 xml:space="preserve"> </w:t>
            </w:r>
          </w:p>
          <w:p w14:paraId="3CA7A327" w14:textId="77777777" w:rsidR="00C11CD6" w:rsidRPr="009F79E2" w:rsidRDefault="00C11CD6" w:rsidP="00961DB5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9F79E2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Como teste diagnóstico</w:t>
            </w:r>
            <w:r w:rsidRPr="009F79E2">
              <w:rPr>
                <w:rFonts w:ascii="Calibri" w:hAnsi="Calibri"/>
                <w:b/>
                <w:sz w:val="22"/>
                <w:szCs w:val="22"/>
                <w:lang w:val="pt-BR"/>
              </w:rPr>
              <w:t>, pois pode desencadear convulsões em pacientes epilépticos;</w:t>
            </w:r>
          </w:p>
          <w:p w14:paraId="062AE484" w14:textId="77777777" w:rsidR="00C11CD6" w:rsidRPr="00100E3F" w:rsidRDefault="00C11CD6" w:rsidP="00961DB5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  <w:r w:rsidRPr="00100E3F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>NAS INTOXICAÇÕES POR BZD ASSOCIADAS COM DROGAS PRÓ-CONVULSIVANTES E CARDIOTÓXICAS, COMO ANTIDEPRESSIVOS TRICÍCLICOS OU CARBAMAZEPINA, POIS PODE INDUZIR ARRITMIAS GRAVES E ESTADO DE MAL CONVULSIVO</w:t>
            </w:r>
          </w:p>
          <w:p w14:paraId="368D4B29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65892801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27061C">
              <w:rPr>
                <w:rFonts w:ascii="Calibri" w:hAnsi="Calibri"/>
                <w:b/>
                <w:sz w:val="22"/>
                <w:szCs w:val="22"/>
                <w:lang w:val="pt-BR"/>
              </w:rPr>
              <w:t>Doses recomendadas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59D08C79" w14:textId="77777777" w:rsidR="00C11CD6" w:rsidRPr="007937DE" w:rsidRDefault="00C11CD6" w:rsidP="00961DB5">
            <w:pPr>
              <w:numPr>
                <w:ilvl w:val="0"/>
                <w:numId w:val="1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30A9DD31" w14:textId="77777777" w:rsidR="00C11CD6" w:rsidRPr="007937DE" w:rsidRDefault="00C11CD6" w:rsidP="00961DB5">
            <w:pPr>
              <w:numPr>
                <w:ilvl w:val="0"/>
                <w:numId w:val="23"/>
              </w:numPr>
              <w:spacing w:line="276" w:lineRule="auto"/>
              <w:ind w:left="360" w:hanging="360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1ª dose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10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mcg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/kg (0,01 mg/kg) IV e aguardar 30 segundos; </w:t>
            </w:r>
          </w:p>
          <w:p w14:paraId="7F977577" w14:textId="77777777" w:rsidR="00C11CD6" w:rsidRPr="007937DE" w:rsidRDefault="00C11CD6" w:rsidP="00961DB5">
            <w:pPr>
              <w:numPr>
                <w:ilvl w:val="0"/>
                <w:numId w:val="23"/>
              </w:numPr>
              <w:spacing w:line="276" w:lineRule="auto"/>
              <w:ind w:left="360" w:hanging="360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2ª dose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caso não haja resposta ou resposta parcial pode ser injetado mais 10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mcg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/kg (0,01 mg/kg) IV e aguardar por mais 30 segundos;</w:t>
            </w:r>
          </w:p>
          <w:p w14:paraId="7082602C" w14:textId="77777777" w:rsidR="00C11CD6" w:rsidRPr="007937DE" w:rsidRDefault="00C11CD6" w:rsidP="00961DB5">
            <w:pPr>
              <w:numPr>
                <w:ilvl w:val="0"/>
                <w:numId w:val="23"/>
              </w:numPr>
              <w:spacing w:line="276" w:lineRule="auto"/>
              <w:ind w:left="360" w:hanging="360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3ª dose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caso não haja resposta ou resposta parcial pode ser injetado mais 20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mcg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/kg (0,02 mg/kg) IV mg IV. </w:t>
            </w:r>
          </w:p>
          <w:p w14:paraId="54B06142" w14:textId="77777777" w:rsidR="00C11CD6" w:rsidRPr="007937DE" w:rsidRDefault="00C11CD6" w:rsidP="00961DB5">
            <w:pPr>
              <w:numPr>
                <w:ilvl w:val="0"/>
                <w:numId w:val="23"/>
              </w:numPr>
              <w:spacing w:line="276" w:lineRule="auto"/>
              <w:ind w:left="360" w:hanging="360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Se não ocorrer resposta após a 3ª dose é improvável que o flumazenil possa reverter a depressão neurológica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0D9002C3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68C6A7E3" w14:textId="77777777" w:rsidR="00C11CD6" w:rsidRPr="007937DE" w:rsidRDefault="00C11CD6" w:rsidP="00961DB5">
            <w:pPr>
              <w:numPr>
                <w:ilvl w:val="0"/>
                <w:numId w:val="1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2823A062" w14:textId="77777777" w:rsidR="00C11CD6" w:rsidRPr="007937DE" w:rsidRDefault="00C11CD6" w:rsidP="00961DB5">
            <w:pPr>
              <w:numPr>
                <w:ilvl w:val="0"/>
                <w:numId w:val="4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1ª dose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0,5 mg IV e aguardar 30 segundos; </w:t>
            </w:r>
          </w:p>
          <w:p w14:paraId="79CC9F2C" w14:textId="77777777" w:rsidR="00C11CD6" w:rsidRPr="007937DE" w:rsidRDefault="00C11CD6" w:rsidP="00961DB5">
            <w:pPr>
              <w:numPr>
                <w:ilvl w:val="0"/>
                <w:numId w:val="4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2ª dose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caso não haja resposta ou resposta parcial pode ser injetado mais 0,5 mg IV e aguardar por mais 30 segundos;</w:t>
            </w:r>
          </w:p>
          <w:p w14:paraId="3A035771" w14:textId="77777777" w:rsidR="00C11CD6" w:rsidRPr="007937DE" w:rsidRDefault="00C11CD6" w:rsidP="00961DB5">
            <w:pPr>
              <w:numPr>
                <w:ilvl w:val="0"/>
                <w:numId w:val="4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3ª dose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caso não haja resposta ou resposta parcial pode ser injetado mais 1 mg IV. </w:t>
            </w:r>
          </w:p>
          <w:p w14:paraId="2D3E58A7" w14:textId="77777777" w:rsidR="00C11CD6" w:rsidRPr="007937DE" w:rsidRDefault="00C11CD6" w:rsidP="00961DB5">
            <w:pPr>
              <w:numPr>
                <w:ilvl w:val="0"/>
                <w:numId w:val="4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Se não ocorrer resposta após a 3ª dose, com dose acumulada de 2 mg, é improvável que o flumazenil possa reverter a depressão neurológica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</w:p>
        </w:tc>
        <w:tc>
          <w:tcPr>
            <w:tcW w:w="859" w:type="pct"/>
          </w:tcPr>
          <w:p w14:paraId="4BDBC6E6" w14:textId="77777777" w:rsidR="00C11CD6" w:rsidRDefault="00C11CD6" w:rsidP="00961DB5">
            <w:pPr>
              <w:spacing w:line="276" w:lineRule="auto"/>
              <w:ind w:left="-27" w:firstLine="27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ampola de 5 ml contendo 0,5 mg de flumazenil (0,1 mg/ml ou 100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mcg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/ml).</w:t>
            </w:r>
          </w:p>
          <w:p w14:paraId="496A434A" w14:textId="77777777" w:rsidR="00C11CD6" w:rsidRDefault="00C11CD6" w:rsidP="00961DB5">
            <w:pPr>
              <w:spacing w:line="276" w:lineRule="auto"/>
              <w:ind w:left="-27" w:firstLine="27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0CA450A4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5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ampolas</w:t>
            </w:r>
            <w:r w:rsidR="006F14E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(2,5 mg)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16B6667E" w14:textId="77777777" w:rsidR="00C11CD6" w:rsidRDefault="00C11CD6" w:rsidP="00961DB5">
            <w:pPr>
              <w:spacing w:line="276" w:lineRule="auto"/>
              <w:ind w:left="-27" w:firstLine="27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3F5F7258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4BB268B8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16683104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362D1595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7AA1D8A1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2E00A115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69308190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04E7507A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3906FFA9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5C8AB7BB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50B769C2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276115BD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  <w:p w14:paraId="528BBA77" w14:textId="77777777" w:rsidR="00C11CD6" w:rsidRPr="007937DE" w:rsidRDefault="00C11CD6" w:rsidP="00961DB5">
            <w:pPr>
              <w:spacing w:line="276" w:lineRule="auto"/>
              <w:ind w:left="709"/>
              <w:jc w:val="left"/>
              <w:rPr>
                <w:rFonts w:ascii="Calibri" w:hAnsi="Calibri"/>
                <w:color w:val="FF0000"/>
                <w:sz w:val="22"/>
                <w:szCs w:val="22"/>
                <w:u w:val="single"/>
                <w:lang w:val="pt-BR"/>
              </w:rPr>
            </w:pPr>
          </w:p>
        </w:tc>
      </w:tr>
      <w:tr w:rsidR="00C11CD6" w:rsidRPr="0089272C" w14:paraId="4B7AD349" w14:textId="77777777" w:rsidTr="00961DB5">
        <w:tc>
          <w:tcPr>
            <w:tcW w:w="766" w:type="pct"/>
            <w:shd w:val="clear" w:color="auto" w:fill="auto"/>
          </w:tcPr>
          <w:p w14:paraId="44F35625" w14:textId="02A94A3B" w:rsidR="00C11CD6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77" w:name="_Toc125971537"/>
            <w:bookmarkStart w:id="78" w:name="_Toc126746434"/>
            <w:bookmarkStart w:id="79" w:name="_Toc126746583"/>
            <w:bookmarkStart w:id="80" w:name="_Toc126750595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FOMEPIZOLE</w:t>
            </w:r>
            <w:bookmarkEnd w:id="77"/>
            <w:bookmarkEnd w:id="78"/>
            <w:bookmarkEnd w:id="79"/>
            <w:bookmarkEnd w:id="80"/>
            <w:r w:rsidR="00C11CD6" w:rsidRPr="006C070E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C11CD6" w:rsidRPr="006B34C0">
              <w:rPr>
                <w:rFonts w:ascii="Calibri" w:hAnsi="Calibri" w:cs="Calibri"/>
                <w:b/>
                <w:sz w:val="22"/>
                <w:szCs w:val="22"/>
              </w:rPr>
              <w:t xml:space="preserve"> inj.</w:t>
            </w:r>
          </w:p>
        </w:tc>
        <w:tc>
          <w:tcPr>
            <w:tcW w:w="1039" w:type="pct"/>
            <w:shd w:val="clear" w:color="auto" w:fill="auto"/>
          </w:tcPr>
          <w:p w14:paraId="463CAB99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Metanol</w:t>
            </w: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e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etilenoglicol</w:t>
            </w: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. </w:t>
            </w:r>
          </w:p>
          <w:p w14:paraId="208FE47A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Também pode ser empregado nas intoxicações por outros álcoois tóxicos como 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dietilenoglicol</w:t>
            </w: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e butilglicol.</w:t>
            </w:r>
          </w:p>
          <w:p w14:paraId="4B3CD245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36" w:type="pct"/>
          </w:tcPr>
          <w:p w14:paraId="775B7283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I</w:t>
            </w:r>
            <w:r w:rsidRPr="00483E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nibidor competitivo da enzima álcool desidrogenase, bloqueando a formação de metabólitos tóxicos</w:t>
            </w:r>
            <w:r w:rsidRPr="00483E6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483E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 metanol, etilenoglicol, dietilenoglicol e butilglicol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. </w:t>
            </w:r>
          </w:p>
          <w:p w14:paraId="0A44F671" w14:textId="77777777" w:rsidR="00C11CD6" w:rsidRPr="00304B59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12AF016E" w14:textId="77777777" w:rsidR="00C11CD6" w:rsidRPr="007937DE" w:rsidRDefault="00C11CD6" w:rsidP="00961DB5">
            <w:pPr>
              <w:numPr>
                <w:ilvl w:val="0"/>
                <w:numId w:val="2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Dose de ataque: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15 mg/kg IV, infundida em 30 minutos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5ED68B29" w14:textId="05550885" w:rsidR="00C11CD6" w:rsidRPr="007937DE" w:rsidRDefault="00C11CD6" w:rsidP="00961DB5">
            <w:pPr>
              <w:numPr>
                <w:ilvl w:val="0"/>
                <w:numId w:val="2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Dose de manutenção: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10 mg/kg a cada 12h por 4 doses.</w:t>
            </w:r>
          </w:p>
          <w:p w14:paraId="67A5988E" w14:textId="2A3492B6" w:rsidR="00C11CD6" w:rsidRPr="007937DE" w:rsidRDefault="00C11CD6" w:rsidP="00961DB5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Doses adicionais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caso a terapêutica se prolongue por mais de 48h, a dose infundida a cada 12h pode ser aumentada para 15 mg/kg/dose.</w:t>
            </w:r>
          </w:p>
          <w:p w14:paraId="56DA78AB" w14:textId="3DED1307" w:rsidR="00C11CD6" w:rsidRPr="007937DE" w:rsidRDefault="00C11CD6" w:rsidP="00961DB5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C12C7A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Hemodiálise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: Infundir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10 mg/kg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a cada 4h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16542658" w14:textId="77777777" w:rsidR="00C11CD6" w:rsidRPr="007937DE" w:rsidRDefault="00C11CD6" w:rsidP="00961DB5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 administração de fomepizol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e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deve ser mantida até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que as concentrações séricas dos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950176">
              <w:rPr>
                <w:rFonts w:ascii="Calibri" w:hAnsi="Calibri"/>
                <w:b/>
                <w:sz w:val="22"/>
                <w:szCs w:val="22"/>
                <w:lang w:val="pt-BR"/>
              </w:rPr>
              <w:t>álcoois tóxicos sejam insuficientes para determinar toxicidade (&lt; 25 mg/dl).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9" w:type="pct"/>
          </w:tcPr>
          <w:p w14:paraId="354FB8DD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 (Antizol</w:t>
            </w: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vertAlign w:val="superscript"/>
                <w:lang w:val="pt-BR"/>
              </w:rPr>
              <w:t>R</w:t>
            </w: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frasco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de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1,5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ml co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ntendo 1000 mg/ml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para ser diluíd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em 100 ml de SF 0,9%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ou SG 5% (15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mg/ml).</w:t>
            </w:r>
          </w:p>
          <w:p w14:paraId="4E73C748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</w:pPr>
          </w:p>
          <w:p w14:paraId="4AB0FC8F" w14:textId="77777777" w:rsidR="00C11CD6" w:rsidRPr="00C11CD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C11CD6"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  <w:t>Estoque mínimo</w:t>
            </w:r>
            <w:r w:rsidRPr="00C11CD6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: 4 frascos</w:t>
            </w:r>
            <w:r w:rsidRPr="00C11CD6">
              <w:rPr>
                <w:rFonts w:ascii="Calibri" w:hAnsi="Calibri"/>
                <w:sz w:val="22"/>
                <w:szCs w:val="22"/>
                <w:lang w:val="pt-BR"/>
              </w:rPr>
              <w:t xml:space="preserve"> (1 caixa). </w:t>
            </w:r>
          </w:p>
          <w:p w14:paraId="5E3C544C" w14:textId="636B0EB8" w:rsidR="00C11CD6" w:rsidRPr="004D1967" w:rsidRDefault="00ED741D" w:rsidP="00ED741D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9B4650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Apesar da alta eficácia, trata-se de produto importado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, de difícil aquisição e de</w:t>
            </w:r>
            <w:r w:rsidRPr="009B4650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custo elevado.</w:t>
            </w:r>
          </w:p>
        </w:tc>
      </w:tr>
      <w:tr w:rsidR="00C11CD6" w:rsidRPr="0089272C" w14:paraId="6D0729D9" w14:textId="77777777" w:rsidTr="00961DB5">
        <w:tc>
          <w:tcPr>
            <w:tcW w:w="766" w:type="pct"/>
            <w:shd w:val="clear" w:color="auto" w:fill="auto"/>
          </w:tcPr>
          <w:p w14:paraId="420862AC" w14:textId="4A1AB3AC" w:rsidR="00C11CD6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1" w:name="_Toc125971538"/>
            <w:bookmarkStart w:id="82" w:name="_Toc126746435"/>
            <w:bookmarkStart w:id="83" w:name="_Toc126746584"/>
            <w:bookmarkStart w:id="84" w:name="_Toc126750596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GLICOSE</w:t>
            </w:r>
            <w:bookmarkEnd w:id="81"/>
            <w:bookmarkEnd w:id="82"/>
            <w:bookmarkEnd w:id="83"/>
            <w:bookmarkEnd w:id="84"/>
            <w:r w:rsidRPr="006C070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 xml:space="preserve"> </w:t>
            </w:r>
            <w:r w:rsidR="00C11CD6" w:rsidRPr="006B34C0">
              <w:rPr>
                <w:rFonts w:ascii="Calibri" w:hAnsi="Calibri" w:cs="Calibri"/>
                <w:b/>
                <w:sz w:val="22"/>
                <w:szCs w:val="22"/>
              </w:rPr>
              <w:t>10%, 25% e 50%, inj.</w:t>
            </w:r>
          </w:p>
        </w:tc>
        <w:tc>
          <w:tcPr>
            <w:tcW w:w="1039" w:type="pct"/>
            <w:shd w:val="clear" w:color="auto" w:fill="auto"/>
          </w:tcPr>
          <w:p w14:paraId="56BE4171" w14:textId="77777777" w:rsidR="00C11CD6" w:rsidRPr="0002340C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02340C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Hipoglicemiantes orais</w:t>
            </w: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(s</w:t>
            </w:r>
            <w:r w:rsidRPr="0002340C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ulfoniluréias</w:t>
            </w: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)</w:t>
            </w:r>
            <w:r w:rsidRPr="0002340C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:</w:t>
            </w:r>
          </w:p>
          <w:p w14:paraId="5BE16789" w14:textId="77777777" w:rsidR="00C11CD6" w:rsidRDefault="00C11CD6" w:rsidP="00961DB5">
            <w:pPr>
              <w:pStyle w:val="PargrafodaLista"/>
              <w:numPr>
                <w:ilvl w:val="0"/>
                <w:numId w:val="57"/>
              </w:num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02340C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1ª geração, como clorpropamida e tolbutamida;</w:t>
            </w:r>
          </w:p>
          <w:p w14:paraId="714DEAA7" w14:textId="77777777" w:rsidR="00C11CD6" w:rsidRDefault="00C11CD6" w:rsidP="00961DB5">
            <w:pPr>
              <w:pStyle w:val="PargrafodaLista"/>
              <w:numPr>
                <w:ilvl w:val="0"/>
                <w:numId w:val="57"/>
              </w:num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02340C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2ª geração como glibenclamida, glipizida e gliburida; </w:t>
            </w:r>
          </w:p>
          <w:p w14:paraId="552FFA7C" w14:textId="77777777" w:rsidR="00C11CD6" w:rsidRPr="0002340C" w:rsidRDefault="00C11CD6" w:rsidP="00961DB5">
            <w:pPr>
              <w:pStyle w:val="PargrafodaLista"/>
              <w:numPr>
                <w:ilvl w:val="0"/>
                <w:numId w:val="57"/>
              </w:num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02340C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3ª geração como glimepirida.</w:t>
            </w:r>
          </w:p>
          <w:p w14:paraId="2CA93D97" w14:textId="77777777" w:rsidR="00C11CD6" w:rsidRPr="0002340C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</w:pPr>
            <w:r w:rsidRPr="0002340C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Maior risco de hipoglicemia prolongada (&gt; 8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 xml:space="preserve"> </w:t>
            </w:r>
            <w:r w:rsidRPr="0002340C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 xml:space="preserve">h), nas exposições tóxicas a clorpropamida, glipizida de ação prolongada e gliburida. </w:t>
            </w:r>
          </w:p>
        </w:tc>
        <w:tc>
          <w:tcPr>
            <w:tcW w:w="2336" w:type="pct"/>
          </w:tcPr>
          <w:p w14:paraId="73AC9BD3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Crianças com hipoglicemia:</w:t>
            </w:r>
          </w:p>
          <w:p w14:paraId="3FE2E2EA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color w:val="C00000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GLICEMIA &gt; 60 mg/dl </w:t>
            </w: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>SEM</w:t>
            </w: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SINTOMAS DE HIPOGLICEMIA</w:t>
            </w:r>
          </w:p>
          <w:p w14:paraId="7E280F2F" w14:textId="7ED6CFD4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Avaliar glicemia a cada 1-2h;</w:t>
            </w:r>
          </w:p>
          <w:p w14:paraId="61DB78A8" w14:textId="77777777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Alta se glicemia &gt; 60 mg/dl após observação por 8h</w:t>
            </w:r>
            <w:r w:rsidRPr="007937DE">
              <w:rPr>
                <w:rFonts w:ascii="Calibri" w:hAnsi="Calibri"/>
                <w:sz w:val="22"/>
                <w:szCs w:val="22"/>
                <w:u w:val="single"/>
                <w:lang w:val="pt-BR"/>
              </w:rPr>
              <w:t>.</w:t>
            </w:r>
          </w:p>
          <w:p w14:paraId="3BB0A52A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</w:p>
          <w:p w14:paraId="02BD17D3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GLICEMIA &gt; 60 mg/dl </w:t>
            </w: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>COM</w:t>
            </w: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SINTOMAS DE HIPOGLICEMIA </w:t>
            </w:r>
          </w:p>
          <w:p w14:paraId="2B47ABC8" w14:textId="77777777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Oferecer glicose VO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; </w:t>
            </w:r>
          </w:p>
          <w:p w14:paraId="7795DEFD" w14:textId="77777777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Se persistência dos sintomas ou hipoglicemia limítrofe 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iniciar </w:t>
            </w:r>
            <w:r w:rsidRPr="007937DE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t-BR"/>
              </w:rPr>
              <w:t>bolus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de glicose IV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(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0,5-1 g/kg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): </w:t>
            </w:r>
          </w:p>
          <w:p w14:paraId="4B987DC1" w14:textId="77777777" w:rsidR="00C11CD6" w:rsidRPr="0002340C" w:rsidRDefault="00C11CD6" w:rsidP="00961DB5">
            <w:pPr>
              <w:numPr>
                <w:ilvl w:val="1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&lt; 2 anos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SG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10%, 5-10 ml/kg;</w:t>
            </w:r>
          </w:p>
          <w:p w14:paraId="341D3A0B" w14:textId="77777777" w:rsidR="00C11CD6" w:rsidRPr="0002340C" w:rsidRDefault="00C11CD6" w:rsidP="00961DB5">
            <w:pPr>
              <w:numPr>
                <w:ilvl w:val="1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&gt; 2 anos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G25%, 2-4 ml/kg; </w:t>
            </w:r>
          </w:p>
          <w:p w14:paraId="6048852C" w14:textId="77777777" w:rsidR="00C11CD6" w:rsidRPr="007937DE" w:rsidRDefault="006606B9" w:rsidP="00961DB5">
            <w:pPr>
              <w:numPr>
                <w:ilvl w:val="1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</w:t>
            </w:r>
            <w:r w:rsidR="00C11CD6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dolescentes</w:t>
            </w:r>
            <w:r w:rsidR="00C11CD6" w:rsidRPr="007937DE">
              <w:rPr>
                <w:rFonts w:ascii="Calibri" w:hAnsi="Calibri"/>
                <w:sz w:val="22"/>
                <w:szCs w:val="22"/>
                <w:lang w:val="pt-BR"/>
              </w:rPr>
              <w:t>: G50%, 1-2 ml/kg;</w:t>
            </w:r>
          </w:p>
          <w:p w14:paraId="5929C645" w14:textId="77777777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Infusão contínua de glicose (0,5 g/kg/h) e admissão hospitalar.</w:t>
            </w:r>
          </w:p>
          <w:p w14:paraId="32A82460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</w:p>
          <w:p w14:paraId="77885282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color w:val="C00000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GLICEMIA &lt; 60 mg/dl </w:t>
            </w: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>SEM</w:t>
            </w: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SINTOMAS DE HIPOGLICEMIA</w:t>
            </w:r>
          </w:p>
          <w:p w14:paraId="43D24B0C" w14:textId="77777777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Iniciar </w:t>
            </w:r>
            <w:r w:rsidRPr="007937DE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t-BR"/>
              </w:rPr>
              <w:t>bolus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de glicose IV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(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0,5-1 g/kg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): </w:t>
            </w:r>
          </w:p>
          <w:p w14:paraId="7595F515" w14:textId="77777777" w:rsidR="00C11CD6" w:rsidRPr="0002340C" w:rsidRDefault="00C11CD6" w:rsidP="00961DB5">
            <w:pPr>
              <w:numPr>
                <w:ilvl w:val="1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&lt; 2 anos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SG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10%, 5-10 ml/kg;</w:t>
            </w:r>
          </w:p>
          <w:p w14:paraId="14E80BC9" w14:textId="77777777" w:rsidR="00C11CD6" w:rsidRPr="0002340C" w:rsidRDefault="00C11CD6" w:rsidP="00961DB5">
            <w:pPr>
              <w:numPr>
                <w:ilvl w:val="1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&gt; 2 anos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G25%, 2-4 ml/kg;</w:t>
            </w:r>
          </w:p>
          <w:p w14:paraId="2518D9E4" w14:textId="77777777" w:rsidR="00C11CD6" w:rsidRPr="007937DE" w:rsidRDefault="006606B9" w:rsidP="00961DB5">
            <w:pPr>
              <w:numPr>
                <w:ilvl w:val="1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</w:t>
            </w:r>
            <w:r w:rsidR="00C11CD6"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dolescentes</w:t>
            </w:r>
            <w:r w:rsidR="00C11CD6" w:rsidRPr="007937DE">
              <w:rPr>
                <w:rFonts w:ascii="Calibri" w:hAnsi="Calibri"/>
                <w:sz w:val="22"/>
                <w:szCs w:val="22"/>
                <w:lang w:val="pt-BR"/>
              </w:rPr>
              <w:t>: G50%, 1-2 ml/kg;</w:t>
            </w:r>
          </w:p>
          <w:p w14:paraId="456BB853" w14:textId="77777777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Acesso a fontes de glicose para uso VO.</w:t>
            </w:r>
          </w:p>
          <w:p w14:paraId="508B2058" w14:textId="77777777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Considerar infusão contínua de glicose (0,5 g/kg/h) e admissão hospitalar.</w:t>
            </w:r>
          </w:p>
          <w:p w14:paraId="0464A1CB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</w:p>
          <w:p w14:paraId="239FA9B6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GLICEMIA &lt; 60 mg/dl</w:t>
            </w: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 xml:space="preserve"> COM</w:t>
            </w: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SINTOMAS DE HIPOGLICEMIA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3F3E711A" w14:textId="77777777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t-BR"/>
              </w:rPr>
              <w:t>Bolus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de glicose IV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(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0,5-1 g/kg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): </w:t>
            </w:r>
          </w:p>
          <w:p w14:paraId="5985BEF2" w14:textId="77777777" w:rsidR="00C11CD6" w:rsidRPr="0002340C" w:rsidRDefault="00C11CD6" w:rsidP="00961DB5">
            <w:pPr>
              <w:numPr>
                <w:ilvl w:val="1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&lt; 2 anos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SG10%, 5-10 ml/kg;</w:t>
            </w:r>
          </w:p>
          <w:p w14:paraId="7AFB3535" w14:textId="77777777" w:rsidR="00C11CD6" w:rsidRPr="0002340C" w:rsidRDefault="00C11CD6" w:rsidP="00961DB5">
            <w:pPr>
              <w:numPr>
                <w:ilvl w:val="1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&gt; 2 anos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G25%, 2-4 ml/kg;</w:t>
            </w:r>
          </w:p>
          <w:p w14:paraId="123536A8" w14:textId="77777777" w:rsidR="00C11CD6" w:rsidRPr="007937DE" w:rsidRDefault="00C11CD6" w:rsidP="00961DB5">
            <w:pPr>
              <w:numPr>
                <w:ilvl w:val="1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dolescentes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G50%, 1-2 ml/kg;</w:t>
            </w:r>
          </w:p>
          <w:p w14:paraId="1E7E7D03" w14:textId="77777777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Iniciar infusão contínua de glicose (0,5 g/kg/h) em seguida e admissão hospitalar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758E957B" w14:textId="77777777" w:rsidR="00C11CD6" w:rsidRPr="007937DE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Iniciar octreotida por via SC: 4-5 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mcg</w:t>
            </w: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/kg/dia a cada 6h (máximo de 50 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mcg</w:t>
            </w: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/dose a cada 6h)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7A099521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5CAB0028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2731F166" w14:textId="77777777" w:rsidR="00C11CD6" w:rsidRPr="007937DE" w:rsidRDefault="00C11CD6" w:rsidP="00961DB5">
            <w:pPr>
              <w:spacing w:line="276" w:lineRule="auto"/>
              <w:jc w:val="left"/>
              <w:rPr>
                <w:rFonts w:ascii="Calibri" w:hAnsi="Calibri"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GLICEMIA &lt; 90 mg/dl COM ALTERAÇÃO DO NÍVEL DE CONSCIÊNCIA: </w:t>
            </w:r>
          </w:p>
          <w:p w14:paraId="1274B9F3" w14:textId="1D209ABD" w:rsidR="0044421B" w:rsidRPr="007937DE" w:rsidRDefault="00C11CD6" w:rsidP="00ED741D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t-BR"/>
              </w:rPr>
              <w:t>bolus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de glicose IV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(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0,5-1 g/kg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): G50%, 1-2 ml/kg</w:t>
            </w:r>
          </w:p>
        </w:tc>
        <w:tc>
          <w:tcPr>
            <w:tcW w:w="859" w:type="pct"/>
          </w:tcPr>
          <w:p w14:paraId="230E512F" w14:textId="77777777" w:rsidR="00C11CD6" w:rsidRPr="007937DE" w:rsidRDefault="00C11CD6" w:rsidP="00961DB5">
            <w:pPr>
              <w:spacing w:line="276" w:lineRule="auto"/>
              <w:ind w:hanging="27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F03B86">
              <w:rPr>
                <w:rFonts w:ascii="Calibri" w:hAnsi="Calibri"/>
                <w:b/>
                <w:sz w:val="22"/>
                <w:szCs w:val="22"/>
                <w:lang w:val="pt-BR"/>
              </w:rPr>
              <w:t>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ampolas de 10 ml de glicose a </w:t>
            </w:r>
            <w:r w:rsidR="006E78B3">
              <w:rPr>
                <w:rFonts w:ascii="Calibri" w:hAnsi="Calibri"/>
                <w:sz w:val="22"/>
                <w:szCs w:val="22"/>
                <w:lang w:val="pt-BR"/>
              </w:rPr>
              <w:t xml:space="preserve">25% (G25) e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50% (G50%).</w:t>
            </w:r>
          </w:p>
          <w:p w14:paraId="774D2A7F" w14:textId="77777777" w:rsidR="00C11CD6" w:rsidRPr="007937DE" w:rsidRDefault="00C11CD6" w:rsidP="00961DB5">
            <w:pPr>
              <w:spacing w:line="276" w:lineRule="auto"/>
              <w:ind w:left="-27" w:firstLine="736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666453B4" w14:textId="77777777" w:rsidR="00C11CD6" w:rsidRDefault="00C11CD6" w:rsidP="00961DB5">
            <w:pPr>
              <w:spacing w:line="276" w:lineRule="auto"/>
              <w:ind w:left="-27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A3164E"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  <w:t>Estoque mínimo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: 30 ampolas</w:t>
            </w:r>
            <w:r w:rsidR="006E78B3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de G50%</w:t>
            </w: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</w:p>
          <w:p w14:paraId="31EC0D1D" w14:textId="77777777" w:rsidR="00C11CD6" w:rsidRDefault="00C11CD6" w:rsidP="00961DB5">
            <w:pPr>
              <w:spacing w:line="276" w:lineRule="auto"/>
              <w:ind w:left="-27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262ED0A6" w14:textId="77777777" w:rsidR="00C11CD6" w:rsidRPr="007937DE" w:rsidRDefault="00C11CD6" w:rsidP="003E3A5B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</w:tc>
      </w:tr>
      <w:tr w:rsidR="00C11CD6" w:rsidRPr="00512BD6" w14:paraId="6909DE95" w14:textId="77777777" w:rsidTr="00961DB5">
        <w:tc>
          <w:tcPr>
            <w:tcW w:w="766" w:type="pct"/>
            <w:shd w:val="clear" w:color="auto" w:fill="auto"/>
          </w:tcPr>
          <w:p w14:paraId="46DD56DA" w14:textId="79CBA28A" w:rsidR="00C11CD6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5" w:name="_Toc125971539"/>
            <w:bookmarkStart w:id="86" w:name="_Toc126746436"/>
            <w:bookmarkStart w:id="87" w:name="_Toc126746585"/>
            <w:bookmarkStart w:id="88" w:name="_Toc126750597"/>
            <w:r w:rsidRPr="0069719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GLUCONATO DE CÁLCIO</w:t>
            </w:r>
            <w:bookmarkEnd w:id="85"/>
            <w:bookmarkEnd w:id="86"/>
            <w:bookmarkEnd w:id="87"/>
            <w:bookmarkEnd w:id="88"/>
            <w:r w:rsidR="00C11CD6" w:rsidRPr="0069719E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C11CD6" w:rsidRPr="006B34C0">
              <w:rPr>
                <w:rFonts w:ascii="Calibri" w:hAnsi="Calibri" w:cs="Calibri"/>
                <w:b/>
                <w:sz w:val="22"/>
                <w:szCs w:val="22"/>
              </w:rPr>
              <w:t xml:space="preserve"> gel</w:t>
            </w:r>
          </w:p>
        </w:tc>
        <w:tc>
          <w:tcPr>
            <w:tcW w:w="1039" w:type="pct"/>
            <w:shd w:val="clear" w:color="auto" w:fill="auto"/>
          </w:tcPr>
          <w:p w14:paraId="3459CE20" w14:textId="77777777" w:rsidR="00C11CD6" w:rsidRPr="00867A75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Queimaduras cutâneas por á</w:t>
            </w:r>
            <w:r w:rsidRPr="00867A75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cido fluorídrico</w:t>
            </w:r>
          </w:p>
        </w:tc>
        <w:tc>
          <w:tcPr>
            <w:tcW w:w="2336" w:type="pct"/>
          </w:tcPr>
          <w:p w14:paraId="74456ECC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902B3">
              <w:rPr>
                <w:rFonts w:ascii="Calibri" w:hAnsi="Calibri"/>
                <w:b/>
                <w:sz w:val="22"/>
                <w:szCs w:val="22"/>
                <w:lang w:val="pt-BR"/>
              </w:rPr>
              <w:t>Tratamento tópico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  <w:r w:rsidRPr="00867A75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26B88BC3" w14:textId="77777777" w:rsidR="00C11CD6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Aplicar o gel repetidamente na área de queimadura. </w:t>
            </w:r>
          </w:p>
          <w:p w14:paraId="10D670DD" w14:textId="77777777" w:rsidR="00C11CD6" w:rsidRDefault="00C11CD6" w:rsidP="00961DB5">
            <w:pPr>
              <w:numPr>
                <w:ilvl w:val="0"/>
                <w:numId w:val="2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Para queimaduras na mão, o uso de uma luva cirúrgica contendo o gel de GC 2,5% pode ser efetivo para reduzir a dor local. </w:t>
            </w:r>
          </w:p>
          <w:p w14:paraId="0DB48A88" w14:textId="77777777" w:rsidR="00C11CD6" w:rsidRPr="00980B4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859" w:type="pct"/>
          </w:tcPr>
          <w:p w14:paraId="62333861" w14:textId="5E375B52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tubos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de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2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5g a 2,5%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. Medicação manipulada em farmácias magistrais.</w:t>
            </w:r>
          </w:p>
          <w:p w14:paraId="5A4A2211" w14:textId="0274BFEB" w:rsidR="00C11CD6" w:rsidRPr="00867A75" w:rsidRDefault="00C11CD6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A3164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867A75">
              <w:rPr>
                <w:rFonts w:ascii="Calibri" w:hAnsi="Calibri"/>
                <w:b/>
                <w:sz w:val="22"/>
                <w:szCs w:val="22"/>
                <w:lang w:val="pt-BR"/>
              </w:rPr>
              <w:t>: 1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2 tubos</w:t>
            </w:r>
          </w:p>
        </w:tc>
      </w:tr>
      <w:tr w:rsidR="00C11CD6" w:rsidRPr="00512BD6" w14:paraId="574008B6" w14:textId="77777777" w:rsidTr="00961DB5">
        <w:tc>
          <w:tcPr>
            <w:tcW w:w="766" w:type="pct"/>
            <w:shd w:val="clear" w:color="auto" w:fill="auto"/>
          </w:tcPr>
          <w:p w14:paraId="3AACF65C" w14:textId="77777777" w:rsidR="00C11CD6" w:rsidRPr="0069719E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69719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GLUCONATO DE CÁLCIO </w:t>
            </w:r>
            <w:r w:rsidR="00C11CD6" w:rsidRPr="0069719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(GC) a 10%, inj</w:t>
            </w:r>
          </w:p>
        </w:tc>
        <w:tc>
          <w:tcPr>
            <w:tcW w:w="1039" w:type="pct"/>
            <w:shd w:val="clear" w:color="auto" w:fill="auto"/>
          </w:tcPr>
          <w:p w14:paraId="18740768" w14:textId="77777777" w:rsidR="00C11CD6" w:rsidRDefault="00C11CD6" w:rsidP="00961DB5">
            <w:pPr>
              <w:numPr>
                <w:ilvl w:val="0"/>
                <w:numId w:val="34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04180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Bloqueadores de canal de cálcio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(BCC) e antagonistas beta-adrenérgicos (ABA), </w:t>
            </w:r>
          </w:p>
          <w:p w14:paraId="364CEE68" w14:textId="77777777" w:rsidR="00C11CD6" w:rsidRDefault="00C11CD6" w:rsidP="00961DB5">
            <w:pPr>
              <w:numPr>
                <w:ilvl w:val="0"/>
                <w:numId w:val="34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Intoxicações que induzem hipocalcemia (ex., </w:t>
            </w:r>
            <w:r w:rsidRPr="0004180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ácido fluorídrico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), </w:t>
            </w:r>
          </w:p>
          <w:p w14:paraId="4062EC84" w14:textId="77777777" w:rsidR="00C11CD6" w:rsidRPr="00041806" w:rsidRDefault="00C11CD6" w:rsidP="00961DB5">
            <w:pPr>
              <w:numPr>
                <w:ilvl w:val="0"/>
                <w:numId w:val="34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Lesão cutânea grave causada por contato com apresentações de ácido fluorídrico em concentração elevada (&gt; 50%), nos dedos das mãos, evoluindo com dor intensa e com alto risco de lesão óssea. </w:t>
            </w:r>
          </w:p>
        </w:tc>
        <w:tc>
          <w:tcPr>
            <w:tcW w:w="2336" w:type="pct"/>
          </w:tcPr>
          <w:p w14:paraId="2E184A89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Pacientes que apresentam manifestações clínicas de intoxicação por BCC ou ABA (reduções discretas a moderadas na pressão arterial). </w:t>
            </w:r>
          </w:p>
          <w:p w14:paraId="74F047A7" w14:textId="77777777" w:rsidR="00C11CD6" w:rsidRPr="0004180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Pacientes com intoxicações graves por BCC/ABA podem não apresentar resposta satisfatória à administração parenteral de soluções de cálcio.  </w:t>
            </w:r>
          </w:p>
          <w:p w14:paraId="40F9C25C" w14:textId="77777777" w:rsidR="00C11CD6" w:rsidRDefault="00C11CD6" w:rsidP="00961DB5">
            <w:pPr>
              <w:numPr>
                <w:ilvl w:val="0"/>
                <w:numId w:val="28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041806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48A22474" w14:textId="77777777" w:rsidR="00C11CD6" w:rsidRDefault="00C11CD6" w:rsidP="00961DB5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0,6 ml/kg/IV de GC 10% (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60 mg/kg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), para correr em 5 a 10 minutos.</w:t>
            </w:r>
          </w:p>
          <w:p w14:paraId="0F5D589A" w14:textId="77777777" w:rsidR="00C11CD6" w:rsidRPr="007937DE" w:rsidRDefault="00C11CD6" w:rsidP="00961DB5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Repetir, caso necessário, a cada 10-20 minutos, até 3-4 doses, ou considerar infusão contínua de GC 10% (0,6 ml/kg/h no máximo de 30 ml/h)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0B1CB2FD" w14:textId="77777777" w:rsidR="00C11CD6" w:rsidRDefault="00C11CD6" w:rsidP="00961DB5">
            <w:pPr>
              <w:numPr>
                <w:ilvl w:val="0"/>
                <w:numId w:val="28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56C62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670B395F" w14:textId="77777777" w:rsidR="00C11CD6" w:rsidRDefault="00C11CD6" w:rsidP="00961DB5">
            <w:pPr>
              <w:numPr>
                <w:ilvl w:val="0"/>
                <w:numId w:val="3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30 ml/IV de GC 10% (3 g), para correr em 5 a 10 minutos.</w:t>
            </w:r>
          </w:p>
          <w:p w14:paraId="34A4EAD2" w14:textId="77777777" w:rsidR="00C11CD6" w:rsidRDefault="00C11CD6" w:rsidP="00961DB5">
            <w:pPr>
              <w:numPr>
                <w:ilvl w:val="0"/>
                <w:numId w:val="31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Repetir, caso necessário, a cada 10-20 minutos, até 3-4 doses, ou considerar infusão contínua de GC 10% (30 ml/h)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35D1570D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3B05629E" w14:textId="77777777" w:rsidR="00C11CD6" w:rsidRPr="00C8713B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C8713B">
              <w:rPr>
                <w:rFonts w:ascii="Calibri" w:hAnsi="Calibri"/>
                <w:b/>
                <w:sz w:val="22"/>
                <w:szCs w:val="22"/>
                <w:lang w:val="pt-BR"/>
              </w:rPr>
              <w:t>Hipocalcemia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confirmada ou com sinais/sintomas associados à hipocalcemia grave como convulsões, tetania, arritmias e prolongamento do intervalo QTc no ECG</w:t>
            </w:r>
          </w:p>
          <w:p w14:paraId="58A51985" w14:textId="77777777" w:rsidR="00C11CD6" w:rsidRDefault="00C11CD6" w:rsidP="00961DB5">
            <w:pPr>
              <w:numPr>
                <w:ilvl w:val="0"/>
                <w:numId w:val="28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041806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50D0E027" w14:textId="77777777" w:rsidR="00C11CD6" w:rsidRDefault="00C11CD6" w:rsidP="00961DB5">
            <w:pPr>
              <w:numPr>
                <w:ilvl w:val="0"/>
                <w:numId w:val="32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0,5 ml/kg/IV de GC 10% (5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0 mg/kg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), para correr em 20 minutos, na dose máxima de 20 ml.</w:t>
            </w:r>
          </w:p>
          <w:p w14:paraId="78341407" w14:textId="77777777" w:rsidR="00C11CD6" w:rsidRDefault="00C11CD6" w:rsidP="00961DB5">
            <w:pPr>
              <w:numPr>
                <w:ilvl w:val="0"/>
                <w:numId w:val="28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56C62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00F144E9" w14:textId="77777777" w:rsidR="00C11CD6" w:rsidRDefault="00C11CD6" w:rsidP="00961DB5">
            <w:pPr>
              <w:numPr>
                <w:ilvl w:val="0"/>
                <w:numId w:val="33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10-30 ml/IV de GC 10% (1-3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), para correr em 20 minutos. Nas hipocalcemias graves também pode ser considerada uma infusão de 40 ml IV de GC 10% (4 g) para correr em uma hora.</w:t>
            </w:r>
          </w:p>
          <w:p w14:paraId="42ED5591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2C4364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Nas hipocalcemias graves pode ser necessária uma infusão contínua de GC10%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. </w:t>
            </w:r>
            <w:r w:rsidRPr="002C4364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Os níveis de cálcio sérico devem ser monitorados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de forma seriada</w:t>
            </w:r>
            <w:r w:rsidRPr="002C4364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, preferencialmente o cálcio iônico.</w:t>
            </w:r>
          </w:p>
          <w:p w14:paraId="25F87AFD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color w:val="C00000"/>
                <w:sz w:val="22"/>
                <w:szCs w:val="22"/>
                <w:lang w:val="pt-BR"/>
              </w:rPr>
            </w:pPr>
          </w:p>
          <w:p w14:paraId="4892FCA6" w14:textId="77777777" w:rsidR="00C11CD6" w:rsidRPr="007434E9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7434E9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Considerar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a administração </w:t>
            </w:r>
            <w:r w:rsidRPr="007434E9">
              <w:rPr>
                <w:rFonts w:ascii="Calibri" w:hAnsi="Calibri"/>
                <w:b/>
                <w:i/>
                <w:color w:val="C00000"/>
                <w:sz w:val="22"/>
                <w:szCs w:val="22"/>
                <w:u w:val="single"/>
                <w:lang w:val="pt-BR"/>
              </w:rPr>
              <w:t>intra-arterial de GC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u w:val="single"/>
                <w:lang w:val="pt-BR"/>
              </w:rPr>
              <w:t xml:space="preserve"> </w:t>
            </w:r>
            <w:r w:rsidRPr="007434E9">
              <w:rPr>
                <w:rFonts w:ascii="Calibri" w:hAnsi="Calibri"/>
                <w:b/>
                <w:i/>
                <w:color w:val="C00000"/>
                <w:sz w:val="22"/>
                <w:szCs w:val="22"/>
                <w:u w:val="single"/>
                <w:lang w:val="pt-BR"/>
              </w:rPr>
              <w:t>2%</w:t>
            </w:r>
            <w:r w:rsidRPr="007434E9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na artéria radial </w:t>
            </w:r>
            <w:r w:rsidRPr="007434E9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em queimaduras tópicas graves por ácido fluorídrico (concentrações &gt; 50%) nos dedos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das mãos</w:t>
            </w:r>
            <w:r w:rsidRPr="007434E9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, que evoluem com intensa dor local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</w:t>
            </w:r>
            <w:r w:rsidRPr="007434E9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não respon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siva </w:t>
            </w:r>
            <w:r w:rsidRPr="007434E9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ao tratamento tópico com gel de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GC </w:t>
            </w:r>
            <w:r w:rsidRPr="007434E9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2,5%. </w:t>
            </w:r>
          </w:p>
          <w:p w14:paraId="49F343BF" w14:textId="77777777" w:rsidR="00C11CD6" w:rsidRDefault="00C11CD6" w:rsidP="00961DB5">
            <w:pPr>
              <w:pStyle w:val="PargrafodaLista"/>
              <w:numPr>
                <w:ilvl w:val="0"/>
                <w:numId w:val="28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8857E4">
              <w:rPr>
                <w:rFonts w:ascii="Calibri" w:hAnsi="Calibri"/>
                <w:b/>
                <w:sz w:val="22"/>
                <w:szCs w:val="22"/>
                <w:lang w:val="pt-BR"/>
              </w:rPr>
              <w:t>Uso intra-arterial</w:t>
            </w:r>
          </w:p>
          <w:p w14:paraId="147ACF41" w14:textId="77777777" w:rsidR="00C11CD6" w:rsidRPr="008857E4" w:rsidRDefault="00C11CD6" w:rsidP="00961DB5">
            <w:pPr>
              <w:pStyle w:val="PargrafodaLista"/>
              <w:numPr>
                <w:ilvl w:val="1"/>
                <w:numId w:val="28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8857E4">
              <w:rPr>
                <w:rFonts w:ascii="Calibri" w:hAnsi="Calibri"/>
                <w:sz w:val="22"/>
                <w:szCs w:val="22"/>
                <w:lang w:val="pt-BR"/>
              </w:rPr>
              <w:t>Preparar uma solução contendo 10 ml de GC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8857E4">
              <w:rPr>
                <w:rFonts w:ascii="Calibri" w:hAnsi="Calibri"/>
                <w:sz w:val="22"/>
                <w:szCs w:val="22"/>
                <w:lang w:val="pt-BR"/>
              </w:rPr>
              <w:t>10% e 40 ml de SG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8857E4">
              <w:rPr>
                <w:rFonts w:ascii="Calibri" w:hAnsi="Calibri"/>
                <w:sz w:val="22"/>
                <w:szCs w:val="22"/>
                <w:lang w:val="pt-BR"/>
              </w:rPr>
              <w:t>5% (concentração final de GC a 2%).</w:t>
            </w:r>
          </w:p>
          <w:p w14:paraId="466DB46C" w14:textId="77777777" w:rsidR="00C11CD6" w:rsidRPr="00DC14A6" w:rsidRDefault="00C11CD6" w:rsidP="00961DB5">
            <w:pPr>
              <w:numPr>
                <w:ilvl w:val="1"/>
                <w:numId w:val="28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501B66">
              <w:rPr>
                <w:rFonts w:ascii="Calibri" w:hAnsi="Calibri"/>
                <w:sz w:val="22"/>
                <w:szCs w:val="22"/>
                <w:lang w:val="pt-BR"/>
              </w:rPr>
              <w:t>Correr em bomba de infusão a cada 6h, até controle efetivo da dor local.</w:t>
            </w:r>
            <w:r w:rsidRPr="00DC14A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9" w:type="pct"/>
          </w:tcPr>
          <w:p w14:paraId="79AF7BD5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ampola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s de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10 ml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de gluconato de cálcio 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10%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5C2E8A18" w14:textId="77777777" w:rsidR="00C11CD6" w:rsidRDefault="00C11CD6" w:rsidP="00961DB5">
            <w:pPr>
              <w:numPr>
                <w:ilvl w:val="0"/>
                <w:numId w:val="2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 ml= 100 mg de cálcio.</w:t>
            </w:r>
          </w:p>
          <w:p w14:paraId="0074B455" w14:textId="77777777" w:rsidR="00C11CD6" w:rsidRDefault="00C11CD6" w:rsidP="00961DB5">
            <w:pPr>
              <w:numPr>
                <w:ilvl w:val="0"/>
                <w:numId w:val="2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1ml = 9,3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mg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de Ca</w:t>
            </w:r>
            <w:r w:rsidRPr="00656C62">
              <w:rPr>
                <w:rFonts w:ascii="Calibri" w:hAnsi="Calibri"/>
                <w:sz w:val="22"/>
                <w:szCs w:val="22"/>
                <w:vertAlign w:val="superscript"/>
                <w:lang w:val="pt-BR"/>
              </w:rPr>
              <w:t>++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elementar.</w:t>
            </w:r>
          </w:p>
          <w:p w14:paraId="1836CCCA" w14:textId="77777777" w:rsidR="00C11CD6" w:rsidRPr="007937DE" w:rsidRDefault="00C11CD6" w:rsidP="00961DB5">
            <w:pPr>
              <w:numPr>
                <w:ilvl w:val="0"/>
                <w:numId w:val="2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 ml= 0,46 mEq de Ca</w:t>
            </w:r>
            <w:r w:rsidRPr="00656C62">
              <w:rPr>
                <w:rFonts w:ascii="Calibri" w:hAnsi="Calibri"/>
                <w:sz w:val="22"/>
                <w:szCs w:val="22"/>
                <w:vertAlign w:val="superscript"/>
                <w:lang w:val="pt-BR"/>
              </w:rPr>
              <w:t>++</w:t>
            </w:r>
            <w:r w:rsidRPr="0002340C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095B25CC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  <w:p w14:paraId="08C5BBDF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656C62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656C62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12 ampolas. </w:t>
            </w:r>
          </w:p>
          <w:p w14:paraId="24C5110C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26D512D4" w14:textId="77777777" w:rsidR="00C11CD6" w:rsidRPr="00656C62" w:rsidRDefault="00C11CD6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C11CD6" w:rsidRPr="0089272C" w14:paraId="2191BCA6" w14:textId="77777777" w:rsidTr="00961DB5">
        <w:tc>
          <w:tcPr>
            <w:tcW w:w="766" w:type="pct"/>
            <w:shd w:val="clear" w:color="auto" w:fill="auto"/>
          </w:tcPr>
          <w:p w14:paraId="4E9B02B6" w14:textId="6ECED44A" w:rsidR="00C11CD6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89" w:name="_Toc125971540"/>
            <w:bookmarkStart w:id="90" w:name="_Toc126746437"/>
            <w:bookmarkStart w:id="91" w:name="_Toc126746586"/>
            <w:bookmarkStart w:id="92" w:name="_Toc126750598"/>
            <w:r w:rsidRPr="0069719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HIDROXICOBALAMINA</w:t>
            </w:r>
            <w:bookmarkEnd w:id="89"/>
            <w:bookmarkEnd w:id="90"/>
            <w:bookmarkEnd w:id="91"/>
            <w:bookmarkEnd w:id="92"/>
            <w:r w:rsidR="00C11CD6" w:rsidRPr="0069719E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,</w:t>
            </w:r>
            <w:r w:rsidR="00C11CD6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inj.</w:t>
            </w:r>
          </w:p>
        </w:tc>
        <w:tc>
          <w:tcPr>
            <w:tcW w:w="1039" w:type="pct"/>
            <w:shd w:val="clear" w:color="auto" w:fill="auto"/>
          </w:tcPr>
          <w:p w14:paraId="2BC3DCBB" w14:textId="77777777" w:rsidR="00C11CD6" w:rsidRPr="00EC5AA1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EC5AA1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Cianeto</w:t>
            </w: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(CN)</w:t>
            </w:r>
          </w:p>
          <w:p w14:paraId="13F7B8E5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  <w:lang w:val="pt-BR"/>
              </w:rPr>
              <w:t>1ª linha de tratamento</w:t>
            </w:r>
            <w:r w:rsidRPr="00EC5AA1"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 xml:space="preserve">, principalmente em incêndios e no atendimento pré-hospitalar, onde pode haver intoxicação concomitante com monóxido de carbono e há contraindicação de agentes metemoglobinizantes </w:t>
            </w:r>
            <w:r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>(</w:t>
            </w:r>
            <w:r w:rsidRPr="00EC5AA1"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>nitrito de sódio</w:t>
            </w:r>
            <w:r w:rsidR="009226A4"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 xml:space="preserve">; </w:t>
            </w:r>
            <w:r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>vide abaixo</w:t>
            </w:r>
            <w:r w:rsidRPr="00EC5AA1"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>)</w:t>
            </w:r>
            <w:r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 xml:space="preserve">. </w:t>
            </w:r>
          </w:p>
          <w:p w14:paraId="217CDD32" w14:textId="77777777" w:rsidR="000F7AC1" w:rsidRDefault="000F7AC1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</w:pPr>
          </w:p>
          <w:p w14:paraId="4E3E7CE3" w14:textId="77777777" w:rsidR="000F7AC1" w:rsidRPr="007937DE" w:rsidRDefault="000F7AC1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0F7AC1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Outra indicação, seria nas intoxicações por cianeto decorrente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>s</w:t>
            </w:r>
            <w:r w:rsidRPr="000F7AC1">
              <w:rPr>
                <w:rFonts w:ascii="Calibri" w:hAnsi="Calibri"/>
                <w:b/>
                <w:bCs/>
                <w:iCs/>
                <w:sz w:val="22"/>
                <w:szCs w:val="22"/>
                <w:lang w:val="pt-BR"/>
              </w:rPr>
              <w:t xml:space="preserve"> do uso prolongado de doses terapêuticas de</w:t>
            </w:r>
            <w:r w:rsidRPr="000F7AC1">
              <w:rPr>
                <w:rFonts w:ascii="Calibri" w:hAnsi="Calibri"/>
                <w:b/>
                <w:bCs/>
                <w:i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>nitroprussiato de sódio.</w:t>
            </w:r>
          </w:p>
        </w:tc>
        <w:tc>
          <w:tcPr>
            <w:tcW w:w="2336" w:type="pct"/>
          </w:tcPr>
          <w:p w14:paraId="4E49F35F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5143FA">
              <w:rPr>
                <w:rFonts w:ascii="Calibri" w:hAnsi="Calibri"/>
                <w:b/>
                <w:sz w:val="22"/>
                <w:szCs w:val="22"/>
                <w:lang w:val="pt-BR"/>
              </w:rPr>
              <w:t>Cianocobalamin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a (</w:t>
            </w:r>
            <w:r w:rsidRPr="005143FA">
              <w:rPr>
                <w:rFonts w:ascii="Calibri" w:hAnsi="Calibri"/>
                <w:b/>
                <w:sz w:val="22"/>
                <w:szCs w:val="22"/>
                <w:lang w:val="pt-BR"/>
              </w:rPr>
              <w:t>vitamina B</w:t>
            </w:r>
            <w:r w:rsidRPr="005143FA">
              <w:rPr>
                <w:rFonts w:ascii="Calibri" w:hAnsi="Calibri"/>
                <w:b/>
                <w:sz w:val="22"/>
                <w:szCs w:val="22"/>
                <w:vertAlign w:val="subscript"/>
                <w:lang w:val="pt-BR"/>
              </w:rPr>
              <w:t>12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)</w:t>
            </w:r>
            <w:r w:rsidRPr="005143F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é formada quando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o íon cobalto d</w:t>
            </w:r>
            <w:r w:rsidRPr="005143FA">
              <w:rPr>
                <w:rFonts w:ascii="Calibri" w:hAnsi="Calibri"/>
                <w:b/>
                <w:sz w:val="22"/>
                <w:szCs w:val="22"/>
                <w:lang w:val="pt-BR"/>
              </w:rPr>
              <w:t>a hidro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xicobalamina se combina com o cianeto (CN), determinando rápida queda dos níveis de CN e melhora do estado hemodinâmico.  </w:t>
            </w:r>
          </w:p>
          <w:p w14:paraId="060A545D" w14:textId="77777777" w:rsidR="00C11CD6" w:rsidRPr="008857E4" w:rsidRDefault="00C11CD6" w:rsidP="00961DB5">
            <w:pPr>
              <w:pStyle w:val="PargrafodaLista"/>
              <w:numPr>
                <w:ilvl w:val="0"/>
                <w:numId w:val="53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8857E4">
              <w:rPr>
                <w:rFonts w:ascii="Calibri" w:hAnsi="Calibri"/>
                <w:b/>
                <w:sz w:val="22"/>
                <w:szCs w:val="22"/>
                <w:lang w:val="pt-BR"/>
              </w:rPr>
              <w:t>Um mol de hidroxicobalamina se liga a 1 mol de CN.</w:t>
            </w:r>
            <w:r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 xml:space="preserve"> </w:t>
            </w:r>
          </w:p>
          <w:p w14:paraId="555326E3" w14:textId="77777777" w:rsidR="00C11CD6" w:rsidRPr="008857E4" w:rsidRDefault="00C11CD6" w:rsidP="00961DB5">
            <w:pPr>
              <w:pStyle w:val="PargrafodaLista"/>
              <w:numPr>
                <w:ilvl w:val="0"/>
                <w:numId w:val="53"/>
              </w:num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  <w:r w:rsidRPr="008857E4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A hidroxicobalamina reverte a toxicidade do CN mais rapidamente que</w:t>
            </w:r>
            <w:r w:rsidR="00CB232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</w:t>
            </w:r>
            <w:r w:rsidR="009226A4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a associação </w:t>
            </w:r>
            <w:r w:rsidR="00CB232E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nitrito de sódio e tiossulfato de sódio</w:t>
            </w:r>
            <w:r w:rsidRPr="008857E4"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>.</w:t>
            </w:r>
          </w:p>
          <w:p w14:paraId="7207A7A8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2AB7C607" w14:textId="77777777" w:rsidR="00C11CD6" w:rsidRPr="005143FA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Doses recomendas de </w:t>
            </w:r>
            <w:r w:rsidRPr="005143FA">
              <w:rPr>
                <w:rFonts w:ascii="Calibri" w:hAnsi="Calibri"/>
                <w:b/>
                <w:sz w:val="22"/>
                <w:szCs w:val="22"/>
                <w:lang w:val="pt-BR"/>
              </w:rPr>
              <w:t>hidro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xicobalamina:</w:t>
            </w:r>
          </w:p>
          <w:p w14:paraId="6734C6E5" w14:textId="77777777" w:rsidR="00C11CD6" w:rsidRDefault="00C11CD6" w:rsidP="00961DB5">
            <w:pPr>
              <w:pStyle w:val="PargrafodaLista"/>
              <w:numPr>
                <w:ilvl w:val="0"/>
                <w:numId w:val="5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4E476B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6EBF1C8D" w14:textId="77777777" w:rsidR="00C11CD6" w:rsidRDefault="00C11CD6" w:rsidP="00961DB5">
            <w:pPr>
              <w:pStyle w:val="PargrafodaLista"/>
              <w:numPr>
                <w:ilvl w:val="1"/>
                <w:numId w:val="5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>70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 xml:space="preserve">mg/kg (2,8 ml/kg) IV durante 15 minutos. </w:t>
            </w:r>
          </w:p>
          <w:p w14:paraId="34B73380" w14:textId="77777777" w:rsidR="00C11CD6" w:rsidRPr="004E476B" w:rsidRDefault="00C11CD6" w:rsidP="00961DB5">
            <w:pPr>
              <w:pStyle w:val="PargrafodaLista"/>
              <w:numPr>
                <w:ilvl w:val="1"/>
                <w:numId w:val="5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>Em casos graves, como os de parada cardíaca ou persistência da instabilidade cardíaca</w:t>
            </w:r>
            <w:r w:rsidR="00381019">
              <w:rPr>
                <w:rFonts w:ascii="Calibri" w:hAnsi="Calibri"/>
                <w:sz w:val="22"/>
                <w:szCs w:val="22"/>
                <w:lang w:val="pt-BR"/>
              </w:rPr>
              <w:t>/hemodinâmica</w:t>
            </w: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>, uma segunda dose (70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>mg/kg) poderá ser infundida durante 15 minutos a 2 horas, até a dose máxima de adultos (10 g).</w:t>
            </w:r>
          </w:p>
          <w:p w14:paraId="733F8D17" w14:textId="77777777" w:rsidR="00C11CD6" w:rsidRDefault="00C11CD6" w:rsidP="00961DB5">
            <w:pPr>
              <w:pStyle w:val="PargrafodaLista"/>
              <w:numPr>
                <w:ilvl w:val="0"/>
                <w:numId w:val="5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4E476B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68149228" w14:textId="77777777" w:rsidR="00C11CD6" w:rsidRDefault="00C11CD6" w:rsidP="00961DB5">
            <w:pPr>
              <w:pStyle w:val="PargrafodaLista"/>
              <w:numPr>
                <w:ilvl w:val="1"/>
                <w:numId w:val="5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>1 frasco de 5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 xml:space="preserve">g IV (200 ml) durante 15 minutos. </w:t>
            </w:r>
          </w:p>
          <w:p w14:paraId="7837EA76" w14:textId="77777777" w:rsidR="00C11CD6" w:rsidRPr="004E476B" w:rsidRDefault="00C11CD6" w:rsidP="00961DB5">
            <w:pPr>
              <w:pStyle w:val="PargrafodaLista"/>
              <w:numPr>
                <w:ilvl w:val="1"/>
                <w:numId w:val="5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>Em casos graves, como os de parada cardíaca ou persistência da instabilidade cardíaca</w:t>
            </w:r>
            <w:r w:rsidR="00E269D2">
              <w:rPr>
                <w:rFonts w:ascii="Calibri" w:hAnsi="Calibri"/>
                <w:sz w:val="22"/>
                <w:szCs w:val="22"/>
                <w:lang w:val="pt-BR"/>
              </w:rPr>
              <w:t>/hemodinâmica</w:t>
            </w: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>, uma segunda dose de 5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>g poderá ser infundida durante 15 minutos a 2 horas (dose total= 10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4E476B">
              <w:rPr>
                <w:rFonts w:ascii="Calibri" w:hAnsi="Calibri"/>
                <w:sz w:val="22"/>
                <w:szCs w:val="22"/>
                <w:lang w:val="pt-BR"/>
              </w:rPr>
              <w:t>g).</w:t>
            </w:r>
          </w:p>
        </w:tc>
        <w:tc>
          <w:tcPr>
            <w:tcW w:w="859" w:type="pct"/>
          </w:tcPr>
          <w:p w14:paraId="142A9A38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Frasco com 5 g de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liofilizado de </w:t>
            </w:r>
            <w:r w:rsidRPr="00F52317">
              <w:rPr>
                <w:rFonts w:ascii="Calibri" w:hAnsi="Calibri"/>
                <w:sz w:val="22"/>
                <w:szCs w:val="22"/>
                <w:lang w:val="pt-BR"/>
              </w:rPr>
              <w:t>hidroxicobalamina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para ser dissolvido em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200 ml de SF 0,9%, (1ml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=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25 mg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de </w:t>
            </w:r>
            <w:r w:rsidRPr="00F52317">
              <w:rPr>
                <w:rFonts w:ascii="Calibri" w:hAnsi="Calibri"/>
                <w:sz w:val="22"/>
                <w:szCs w:val="22"/>
                <w:lang w:val="pt-BR"/>
              </w:rPr>
              <w:t>hidroxicobalamina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). </w:t>
            </w:r>
          </w:p>
          <w:p w14:paraId="416B18CE" w14:textId="77777777" w:rsidR="00C11CD6" w:rsidRPr="00200EBF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Caso SF 0,9% não esteja disponível, o liofilizado pode ser dissolvido em </w:t>
            </w:r>
            <w:r w:rsidRPr="00200EBF">
              <w:rPr>
                <w:rFonts w:ascii="Calibri" w:hAnsi="Calibri"/>
                <w:sz w:val="22"/>
                <w:szCs w:val="22"/>
                <w:lang w:val="pt-BR"/>
              </w:rPr>
              <w:t>SG 5% ou Ringer Lactato.</w:t>
            </w:r>
          </w:p>
          <w:p w14:paraId="44A37519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4DD006E4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A3164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: 2 frascos (10 g)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40A52541" w14:textId="77777777" w:rsidR="00C11CD6" w:rsidRDefault="00C11CD6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174A89B6" w14:textId="66B2222D" w:rsidR="00C11CD6" w:rsidRPr="00A00E11" w:rsidRDefault="00A00E11" w:rsidP="00ED741D">
            <w:pPr>
              <w:spacing w:line="276" w:lineRule="auto"/>
              <w:jc w:val="left"/>
              <w:rPr>
                <w:rFonts w:ascii="Calibri" w:hAnsi="Calibri"/>
                <w:i/>
                <w:sz w:val="22"/>
                <w:szCs w:val="22"/>
                <w:lang w:val="pt-BR"/>
              </w:rPr>
            </w:pPr>
            <w:r w:rsidRPr="00A00E11">
              <w:rPr>
                <w:rFonts w:ascii="Calibri" w:hAnsi="Calibri"/>
                <w:i/>
                <w:sz w:val="22"/>
                <w:szCs w:val="22"/>
                <w:lang w:val="pt-BR"/>
              </w:rPr>
              <w:t>D</w:t>
            </w:r>
            <w:r w:rsidR="00C11CD6" w:rsidRPr="00A00E11">
              <w:rPr>
                <w:rFonts w:ascii="Calibri" w:hAnsi="Calibri"/>
                <w:i/>
                <w:sz w:val="22"/>
                <w:szCs w:val="22"/>
                <w:lang w:val="pt-BR"/>
              </w:rPr>
              <w:t xml:space="preserve">etalhes </w:t>
            </w:r>
            <w:r w:rsidR="00381019" w:rsidRPr="00A00E11">
              <w:rPr>
                <w:rFonts w:ascii="Calibri" w:hAnsi="Calibri"/>
                <w:i/>
                <w:sz w:val="22"/>
                <w:szCs w:val="22"/>
                <w:lang w:val="pt-BR"/>
              </w:rPr>
              <w:t xml:space="preserve">da política nacional </w:t>
            </w:r>
            <w:r w:rsidRPr="00A00E11">
              <w:rPr>
                <w:rFonts w:ascii="Calibri" w:hAnsi="Calibri"/>
                <w:i/>
                <w:sz w:val="22"/>
                <w:szCs w:val="22"/>
                <w:lang w:val="pt-BR"/>
              </w:rPr>
              <w:t xml:space="preserve">do uso de hidroxicobalamina </w:t>
            </w:r>
            <w:r>
              <w:rPr>
                <w:rFonts w:ascii="Calibri" w:hAnsi="Calibri"/>
                <w:i/>
                <w:sz w:val="22"/>
                <w:szCs w:val="22"/>
                <w:lang w:val="pt-BR"/>
              </w:rPr>
              <w:t xml:space="preserve">no SUS </w:t>
            </w:r>
            <w:r w:rsidRPr="00A00E11">
              <w:rPr>
                <w:rFonts w:ascii="Calibri" w:hAnsi="Calibri"/>
                <w:i/>
                <w:sz w:val="22"/>
                <w:szCs w:val="22"/>
                <w:lang w:val="pt-BR"/>
              </w:rPr>
              <w:t xml:space="preserve">são apresentados </w:t>
            </w:r>
            <w:r w:rsidR="00C11CD6" w:rsidRPr="00A00E11">
              <w:rPr>
                <w:rFonts w:ascii="Calibri" w:hAnsi="Calibri"/>
                <w:i/>
                <w:sz w:val="22"/>
                <w:szCs w:val="22"/>
                <w:lang w:val="pt-BR"/>
              </w:rPr>
              <w:t>no item Observações</w:t>
            </w:r>
            <w:r w:rsidR="007E2BEC">
              <w:rPr>
                <w:rFonts w:ascii="Calibri" w:hAnsi="Calibri"/>
                <w:i/>
                <w:sz w:val="22"/>
                <w:szCs w:val="22"/>
                <w:lang w:val="pt-BR"/>
              </w:rPr>
              <w:t xml:space="preserve"> (pg.</w:t>
            </w:r>
            <w:r w:rsidR="00EB4428">
              <w:rPr>
                <w:rFonts w:ascii="Calibri" w:hAnsi="Calibri"/>
                <w:i/>
                <w:sz w:val="22"/>
                <w:szCs w:val="22"/>
                <w:lang w:val="pt-BR"/>
              </w:rPr>
              <w:t>3</w:t>
            </w:r>
            <w:r w:rsidR="00ED741D">
              <w:rPr>
                <w:rFonts w:ascii="Calibri" w:hAnsi="Calibri"/>
                <w:i/>
                <w:sz w:val="22"/>
                <w:szCs w:val="22"/>
                <w:lang w:val="pt-BR"/>
              </w:rPr>
              <w:t>7</w:t>
            </w:r>
            <w:r w:rsidR="007E2BEC">
              <w:rPr>
                <w:rFonts w:ascii="Calibri" w:hAnsi="Calibri"/>
                <w:i/>
                <w:sz w:val="22"/>
                <w:szCs w:val="22"/>
                <w:lang w:val="pt-BR"/>
              </w:rPr>
              <w:t>)</w:t>
            </w:r>
            <w:r w:rsidR="00C11CD6" w:rsidRPr="00A00E11">
              <w:rPr>
                <w:rFonts w:ascii="Calibri" w:hAnsi="Calibri"/>
                <w:i/>
                <w:sz w:val="22"/>
                <w:szCs w:val="22"/>
                <w:lang w:val="pt-BR"/>
              </w:rPr>
              <w:t>.</w:t>
            </w:r>
          </w:p>
        </w:tc>
      </w:tr>
      <w:tr w:rsidR="0041056A" w:rsidRPr="00512BD6" w14:paraId="248285F5" w14:textId="77777777" w:rsidTr="00961DB5">
        <w:tc>
          <w:tcPr>
            <w:tcW w:w="766" w:type="pct"/>
            <w:shd w:val="clear" w:color="auto" w:fill="auto"/>
          </w:tcPr>
          <w:p w14:paraId="6EFEE240" w14:textId="6088D5A8" w:rsidR="0041056A" w:rsidRPr="0069719E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bookmarkStart w:id="93" w:name="_Toc125971541"/>
            <w:bookmarkStart w:id="94" w:name="_Toc126746438"/>
            <w:bookmarkStart w:id="95" w:name="_Toc126746587"/>
            <w:bookmarkStart w:id="96" w:name="_Toc126750599"/>
            <w:r w:rsidRPr="0069719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IDARUCIZUMABE</w:t>
            </w:r>
            <w:bookmarkEnd w:id="93"/>
            <w:bookmarkEnd w:id="94"/>
            <w:bookmarkEnd w:id="95"/>
            <w:bookmarkEnd w:id="96"/>
          </w:p>
        </w:tc>
        <w:tc>
          <w:tcPr>
            <w:tcW w:w="1039" w:type="pct"/>
            <w:shd w:val="clear" w:color="auto" w:fill="auto"/>
          </w:tcPr>
          <w:p w14:paraId="433AA90F" w14:textId="77777777" w:rsidR="0041056A" w:rsidRPr="006C1DF1" w:rsidRDefault="0041056A" w:rsidP="00961DB5">
            <w:pPr>
              <w:pStyle w:val="Default"/>
              <w:spacing w:line="276" w:lineRule="auto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</w:rPr>
            </w:pPr>
            <w:r w:rsidRPr="006C1DF1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</w:rPr>
              <w:t xml:space="preserve">Dabigatrana (anticoagulante inibidor da trombina para uso VO) </w:t>
            </w:r>
          </w:p>
          <w:p w14:paraId="3C748F5F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</w:tcPr>
          <w:p w14:paraId="5EAD1111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D6522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Anticorpo Fab monocolonal humanizado indicado para reversão de coagulopatia com sangramento grave ou ameaçador à vida, ou na necessidade de cirurgia urgente/emergente. </w:t>
            </w:r>
          </w:p>
          <w:p w14:paraId="3074A60C" w14:textId="77777777" w:rsidR="0041056A" w:rsidRPr="006F6F17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6F6F17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O anticorpo tem uma afinidade de ligação a dabigatrana ~350 X &gt; que a afinidade da dabigatrana com a trombina.</w:t>
            </w:r>
          </w:p>
          <w:p w14:paraId="0612F148" w14:textId="77777777" w:rsidR="0041056A" w:rsidRPr="00D6522E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7D52CE2D" w14:textId="4FE07030" w:rsidR="0041056A" w:rsidRPr="00D6522E" w:rsidRDefault="0041056A" w:rsidP="003E3A5B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  <w:r w:rsidRPr="00D6522E">
              <w:rPr>
                <w:rFonts w:ascii="Calibri" w:hAnsi="Calibri"/>
                <w:sz w:val="22"/>
                <w:szCs w:val="22"/>
                <w:lang w:val="pt-BR"/>
              </w:rPr>
              <w:t xml:space="preserve">A dose recomendada é de 5 g IV (2 frascos de 50 ml), com duas infusões consecutivas durante 5 a 10 minutos cada ou como uma injeção em </w:t>
            </w:r>
            <w:r w:rsidRPr="00D6522E">
              <w:rPr>
                <w:rFonts w:ascii="Calibri" w:hAnsi="Calibri"/>
                <w:i/>
                <w:sz w:val="22"/>
                <w:szCs w:val="22"/>
                <w:lang w:val="pt-BR"/>
              </w:rPr>
              <w:t>bolus</w:t>
            </w:r>
            <w:r w:rsidRPr="00D6522E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</w:p>
        </w:tc>
        <w:tc>
          <w:tcPr>
            <w:tcW w:w="859" w:type="pct"/>
          </w:tcPr>
          <w:p w14:paraId="6CBCA0B0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D6522E">
              <w:rPr>
                <w:rFonts w:ascii="Calibri" w:hAnsi="Calibri"/>
                <w:sz w:val="22"/>
                <w:szCs w:val="22"/>
                <w:lang w:val="pt-BR"/>
              </w:rPr>
              <w:t>: embalagem com 2 frascos-ampola de solução injetável de 50 ml, contendo 50 mg/mL (50 ml= 2,5 de idarucizumabe)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1B6D6205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798954AE" w14:textId="6CCD5371" w:rsidR="0041056A" w:rsidRPr="00D6522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C11CD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>: 2 frascos-ampola.</w:t>
            </w:r>
          </w:p>
        </w:tc>
      </w:tr>
      <w:tr w:rsidR="0041056A" w:rsidRPr="00862C21" w14:paraId="4CD2A087" w14:textId="77777777" w:rsidTr="00961DB5">
        <w:tc>
          <w:tcPr>
            <w:tcW w:w="766" w:type="pct"/>
            <w:shd w:val="clear" w:color="auto" w:fill="auto"/>
          </w:tcPr>
          <w:p w14:paraId="3E59CD76" w14:textId="40E2CC1B" w:rsidR="0041056A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highlight w:val="yellow"/>
                <w:lang w:val="pt-BR"/>
              </w:rPr>
            </w:pPr>
            <w:bookmarkStart w:id="97" w:name="_Toc125971542"/>
            <w:bookmarkStart w:id="98" w:name="_Toc126746439"/>
            <w:bookmarkStart w:id="99" w:name="_Toc126746588"/>
            <w:bookmarkStart w:id="100" w:name="_Toc126750600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INSULINA EM DOSES ELEVADAS</w:t>
            </w:r>
            <w:bookmarkEnd w:id="97"/>
            <w:bookmarkEnd w:id="98"/>
            <w:bookmarkEnd w:id="99"/>
            <w:bookmarkEnd w:id="100"/>
            <w:r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41056A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mais glicose</w:t>
            </w:r>
            <w:r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, inj.</w:t>
            </w:r>
          </w:p>
        </w:tc>
        <w:tc>
          <w:tcPr>
            <w:tcW w:w="1039" w:type="pct"/>
            <w:shd w:val="clear" w:color="auto" w:fill="auto"/>
          </w:tcPr>
          <w:p w14:paraId="162C1052" w14:textId="77777777" w:rsidR="0041056A" w:rsidRDefault="0041056A" w:rsidP="00961DB5">
            <w:pPr>
              <w:pStyle w:val="Default"/>
              <w:spacing w:line="276" w:lineRule="auto"/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</w:rPr>
              <w:t>Tratamento de 1ª linha no choque cardiogênico induzido por b</w:t>
            </w:r>
            <w:r w:rsidRPr="00041806"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  <w:t xml:space="preserve">loqueadores de canal de cálcio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  <w:t>(BCC) e antagonistas beta-adrenérgicos (ABA), refratário ao tratamento com inotrópicos/vasopressores.</w:t>
            </w:r>
          </w:p>
          <w:p w14:paraId="337AD535" w14:textId="77777777" w:rsidR="0041056A" w:rsidRDefault="0041056A" w:rsidP="00961DB5">
            <w:pPr>
              <w:pStyle w:val="Default"/>
              <w:spacing w:line="276" w:lineRule="auto"/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</w:pPr>
          </w:p>
          <w:p w14:paraId="0A522DAC" w14:textId="51FFA60F" w:rsidR="0041056A" w:rsidRPr="00980B46" w:rsidRDefault="0041056A">
            <w:pPr>
              <w:pStyle w:val="Default"/>
              <w:spacing w:line="276" w:lineRule="auto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  <w:t>Considerar o uso, após consulta ao CIATox, em outras situações de choque cardiogênico induzido por medicamentos</w:t>
            </w:r>
            <w:r w:rsidR="00245F5E"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  <w:t xml:space="preserve"> como antidepressivos tricíclicos,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  <w:t xml:space="preserve"> refratário ao uso de vasopressores/inotrópicos. </w:t>
            </w:r>
          </w:p>
        </w:tc>
        <w:tc>
          <w:tcPr>
            <w:tcW w:w="2336" w:type="pct"/>
          </w:tcPr>
          <w:p w14:paraId="0DAEC3AE" w14:textId="77777777" w:rsidR="0041056A" w:rsidRPr="004862E0" w:rsidRDefault="0041056A" w:rsidP="00961DB5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</w:rPr>
            </w:pPr>
            <w:r w:rsidRPr="004862E0">
              <w:rPr>
                <w:rFonts w:ascii="Calibri" w:hAnsi="Calibri"/>
                <w:b/>
                <w:sz w:val="22"/>
              </w:rPr>
              <w:t xml:space="preserve">O efeito predominante da infusão de altas doses de insulina mais glicose consiste em melhorar a contratilidade miocárdica e a perfusão tecidual. Essa melhora ocorre, em geral, dentro de 15-40 minutos após o início da insulina, diminuindo a necessidade do uso de vasopressores/inotrópicos. </w:t>
            </w:r>
          </w:p>
          <w:p w14:paraId="0495936D" w14:textId="77777777" w:rsidR="0041056A" w:rsidRPr="004862E0" w:rsidRDefault="0041056A" w:rsidP="00961DB5">
            <w:pPr>
              <w:pStyle w:val="Default"/>
              <w:spacing w:line="276" w:lineRule="auto"/>
              <w:rPr>
                <w:rFonts w:ascii="Calibri" w:hAnsi="Calibri"/>
                <w:b/>
                <w:i/>
                <w:sz w:val="22"/>
              </w:rPr>
            </w:pPr>
            <w:r w:rsidRPr="004862E0">
              <w:rPr>
                <w:rFonts w:ascii="Calibri" w:hAnsi="Calibri"/>
                <w:b/>
                <w:i/>
                <w:color w:val="C00000"/>
                <w:sz w:val="22"/>
              </w:rPr>
              <w:t xml:space="preserve">O tratamento com altas doses de insulina deve ser preferencialmente realizado numa UTI, com monitorização regular da glicemia, e dos níveis séricos de potássio (calemia), magnésio e fósforo.  </w:t>
            </w:r>
          </w:p>
          <w:p w14:paraId="79456C53" w14:textId="77777777" w:rsidR="0041056A" w:rsidRPr="00CF0AB8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62E0">
              <w:rPr>
                <w:rFonts w:ascii="Calibri" w:hAnsi="Calibri"/>
                <w:b/>
                <w:sz w:val="22"/>
              </w:rPr>
              <w:t xml:space="preserve">Iniciar com </w:t>
            </w:r>
            <w:r w:rsidRPr="004862E0">
              <w:rPr>
                <w:rFonts w:ascii="Calibri" w:hAnsi="Calibri"/>
                <w:b/>
                <w:i/>
                <w:sz w:val="22"/>
              </w:rPr>
              <w:t>bolus</w:t>
            </w:r>
            <w:r w:rsidRPr="004862E0">
              <w:rPr>
                <w:rFonts w:ascii="Calibri" w:hAnsi="Calibri"/>
                <w:b/>
                <w:sz w:val="22"/>
              </w:rPr>
              <w:t xml:space="preserve"> de 1 U/kg/IV de insulina regular (ação rápida) em 2-3 minutos associado a um </w:t>
            </w:r>
            <w:r w:rsidRPr="004862E0">
              <w:rPr>
                <w:rFonts w:ascii="Calibri" w:hAnsi="Calibri"/>
                <w:b/>
                <w:i/>
                <w:sz w:val="22"/>
              </w:rPr>
              <w:t xml:space="preserve">bolus </w:t>
            </w:r>
            <w:r w:rsidRPr="004862E0">
              <w:rPr>
                <w:rFonts w:ascii="Calibri" w:hAnsi="Calibri"/>
                <w:b/>
                <w:sz w:val="22"/>
              </w:rPr>
              <w:t>de 0,5 g/kg de glicose se glicemia &lt; 200 mg/dl;</w:t>
            </w:r>
          </w:p>
          <w:p w14:paraId="7759A10A" w14:textId="77777777" w:rsidR="0041056A" w:rsidRPr="00D6522E" w:rsidRDefault="0041056A" w:rsidP="00961DB5">
            <w:pPr>
              <w:pStyle w:val="Default"/>
              <w:numPr>
                <w:ilvl w:val="1"/>
                <w:numId w:val="41"/>
              </w:num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4862E0">
              <w:rPr>
                <w:rFonts w:ascii="Calibri" w:hAnsi="Calibri"/>
                <w:sz w:val="22"/>
              </w:rPr>
              <w:t xml:space="preserve">Se o aceso venoso for periférico usar SG10%, se central preferir SG25-50%; </w:t>
            </w:r>
          </w:p>
          <w:p w14:paraId="4483E442" w14:textId="77777777" w:rsidR="0041056A" w:rsidRPr="00BE241B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6522E">
              <w:rPr>
                <w:rFonts w:ascii="Calibri" w:hAnsi="Calibri"/>
                <w:bCs/>
                <w:sz w:val="22"/>
                <w:szCs w:val="22"/>
              </w:rPr>
              <w:t xml:space="preserve">Em seguida, iniciar </w:t>
            </w:r>
            <w:r>
              <w:rPr>
                <w:rFonts w:ascii="Calibri" w:hAnsi="Calibri"/>
                <w:bCs/>
                <w:sz w:val="22"/>
                <w:szCs w:val="22"/>
              </w:rPr>
              <w:t>infusão contínua (IC) de insulina na dose de 1 U/kg/h, reavaliando a resposta a cada 15 minutos;</w:t>
            </w:r>
          </w:p>
          <w:p w14:paraId="12D899E9" w14:textId="77777777" w:rsidR="0041056A" w:rsidRPr="00BE241B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BE241B">
              <w:rPr>
                <w:rFonts w:ascii="Calibri" w:hAnsi="Calibri"/>
                <w:bCs/>
                <w:sz w:val="22"/>
                <w:szCs w:val="22"/>
              </w:rPr>
              <w:t xml:space="preserve">Aumentar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a </w:t>
            </w:r>
            <w:r w:rsidRPr="00BE241B">
              <w:rPr>
                <w:rFonts w:ascii="Calibri" w:hAnsi="Calibri"/>
                <w:bCs/>
                <w:sz w:val="22"/>
                <w:szCs w:val="22"/>
              </w:rPr>
              <w:t>infusão de insulina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progressivamente (</w:t>
            </w:r>
            <w:r w:rsidRPr="00BE241B">
              <w:rPr>
                <w:rFonts w:ascii="Calibri" w:hAnsi="Calibri"/>
                <w:bCs/>
                <w:sz w:val="22"/>
                <w:szCs w:val="22"/>
              </w:rPr>
              <w:t>1-2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BE241B">
              <w:rPr>
                <w:rFonts w:ascii="Calibri" w:hAnsi="Calibri"/>
                <w:bCs/>
                <w:sz w:val="22"/>
                <w:szCs w:val="22"/>
              </w:rPr>
              <w:t>U/kg</w:t>
            </w:r>
            <w:r>
              <w:rPr>
                <w:rFonts w:ascii="Calibri" w:hAnsi="Calibri"/>
                <w:bCs/>
                <w:sz w:val="22"/>
                <w:szCs w:val="22"/>
              </w:rPr>
              <w:t>/</w:t>
            </w:r>
            <w:r w:rsidRPr="00BE241B">
              <w:rPr>
                <w:rFonts w:ascii="Calibri" w:hAnsi="Calibri"/>
                <w:bCs/>
                <w:sz w:val="22"/>
                <w:szCs w:val="22"/>
              </w:rPr>
              <w:t xml:space="preserve">h a cada </w:t>
            </w:r>
            <w:r>
              <w:rPr>
                <w:rFonts w:ascii="Calibri" w:hAnsi="Calibri"/>
                <w:bCs/>
                <w:sz w:val="22"/>
                <w:szCs w:val="22"/>
              </w:rPr>
              <w:t>1</w:t>
            </w:r>
            <w:r w:rsidRPr="00BE241B">
              <w:rPr>
                <w:rFonts w:ascii="Calibri" w:hAnsi="Calibri"/>
                <w:bCs/>
                <w:sz w:val="22"/>
                <w:szCs w:val="22"/>
              </w:rPr>
              <w:t>5 minutos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, no </w:t>
            </w:r>
            <w:r w:rsidRPr="00BE241B">
              <w:rPr>
                <w:rFonts w:ascii="Calibri" w:hAnsi="Calibri"/>
                <w:bCs/>
                <w:sz w:val="22"/>
                <w:szCs w:val="22"/>
              </w:rPr>
              <w:t>máximo de 10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BE241B">
              <w:rPr>
                <w:rFonts w:ascii="Calibri" w:hAnsi="Calibri"/>
                <w:bCs/>
                <w:sz w:val="22"/>
                <w:szCs w:val="22"/>
              </w:rPr>
              <w:t>U/kg/h)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até resposta clínica favorável (melhora dos sinais de choque e PA sistólica &gt; 90 mmHg);</w:t>
            </w:r>
          </w:p>
          <w:p w14:paraId="1A9542A2" w14:textId="77777777" w:rsidR="0041056A" w:rsidRPr="00E70DB5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Para evitar sobrecarga de fluidos, usar preferencialmente a concentração de insulina de 10 U/ml;</w:t>
            </w:r>
          </w:p>
          <w:p w14:paraId="6B2A0329" w14:textId="77777777" w:rsidR="0041056A" w:rsidRPr="00CF0AB8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0AB8">
              <w:rPr>
                <w:rFonts w:ascii="Calibri" w:hAnsi="Calibri"/>
                <w:b/>
                <w:bCs/>
                <w:sz w:val="22"/>
                <w:szCs w:val="22"/>
              </w:rPr>
              <w:t>Para manter a euglicemia iniciar, juntamente com a IC de insulina, IC de glicose na dose de 0,5 g/kg/h,</w:t>
            </w:r>
          </w:p>
          <w:p w14:paraId="45C83295" w14:textId="77777777" w:rsidR="0041056A" w:rsidRPr="004214EA" w:rsidRDefault="0041056A" w:rsidP="00961DB5">
            <w:pPr>
              <w:pStyle w:val="Default"/>
              <w:numPr>
                <w:ilvl w:val="1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Para evitar sobrecarga de fluidos, nos pacientes com acesso venoso central usar preferencialmente SG25-50%;</w:t>
            </w:r>
          </w:p>
          <w:p w14:paraId="2C494D2E" w14:textId="57926CE8" w:rsidR="0041056A" w:rsidRPr="004214EA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 glicemia deve ser inicialmente monitorada a cada 15-30 minutos, e a cada 1-2h após estabilização;</w:t>
            </w:r>
          </w:p>
          <w:p w14:paraId="1322A964" w14:textId="77777777" w:rsidR="0041056A" w:rsidRPr="00416AB5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 taxa de infusão de glicose deve ser ajustada para manter uma glicemia entre 100-250 mg/dl;</w:t>
            </w:r>
          </w:p>
          <w:p w14:paraId="33C92657" w14:textId="2768E9DB" w:rsidR="0041056A" w:rsidRPr="00C9264D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Monitorar a calemia de hora em hora durante os ajustes iniciais e a cada 4-6h após estabilização;</w:t>
            </w:r>
          </w:p>
          <w:p w14:paraId="46D0963F" w14:textId="77777777" w:rsidR="0041056A" w:rsidRPr="00C9264D" w:rsidRDefault="0041056A" w:rsidP="00961DB5">
            <w:pPr>
              <w:pStyle w:val="Default"/>
              <w:numPr>
                <w:ilvl w:val="1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Manter a calemia entre 3-4 mEq/l;</w:t>
            </w:r>
          </w:p>
          <w:p w14:paraId="4B20C308" w14:textId="7EE04DC6" w:rsidR="0041056A" w:rsidRPr="00CF0AB8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Monitorar os níveis séricos de fósforo e magnésio a cada 4-6h; </w:t>
            </w:r>
          </w:p>
          <w:p w14:paraId="42E6E312" w14:textId="77777777" w:rsidR="0041056A" w:rsidRPr="00CF0AB8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Uma vez estabilizado, iniciar o desmame dos inotrópicos/vasopressores antes da diminuição da IC de insulina;</w:t>
            </w:r>
          </w:p>
          <w:p w14:paraId="2EA20939" w14:textId="77777777" w:rsidR="0041056A" w:rsidRPr="00D4123C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Após, reduzir progressivamente a IC de insulina a 1 U/kg/h reavaliando regularmente a resposta clínica;</w:t>
            </w:r>
          </w:p>
          <w:p w14:paraId="1948A7D3" w14:textId="77777777" w:rsidR="0041056A" w:rsidRPr="00D4123C" w:rsidRDefault="0041056A" w:rsidP="00961DB5">
            <w:pPr>
              <w:pStyle w:val="Default"/>
              <w:numPr>
                <w:ilvl w:val="0"/>
                <w:numId w:val="41"/>
              </w:num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4123C">
              <w:rPr>
                <w:rFonts w:ascii="Calibri" w:hAnsi="Calibri"/>
                <w:b/>
                <w:bCs/>
                <w:sz w:val="22"/>
                <w:szCs w:val="22"/>
              </w:rPr>
              <w:t>Em geral, o tratamento com altas doses de insulina mais glicose demanda 1-2 dias</w:t>
            </w:r>
            <w:r>
              <w:rPr>
                <w:rFonts w:ascii="Calibri" w:hAnsi="Calibri"/>
                <w:bCs/>
                <w:sz w:val="22"/>
                <w:szCs w:val="22"/>
              </w:rPr>
              <w:t>;</w:t>
            </w:r>
          </w:p>
          <w:p w14:paraId="282E8450" w14:textId="5AD6121B" w:rsidR="001B365C" w:rsidRPr="00D6522E" w:rsidRDefault="0041056A" w:rsidP="00ED741D">
            <w:pPr>
              <w:pStyle w:val="Default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Monitorar a glicemia e calemia por 24h após suspensão da insulina tendo em vista a possibilidade de hipoglicemia e hipercalemia de rebote.</w:t>
            </w:r>
          </w:p>
        </w:tc>
        <w:tc>
          <w:tcPr>
            <w:tcW w:w="859" w:type="pct"/>
          </w:tcPr>
          <w:p w14:paraId="1B96B6AC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B5908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frasco-ampola de 10 ml contendo 100 U de insulina regular (1 ml= 10 U). </w:t>
            </w:r>
          </w:p>
          <w:p w14:paraId="7FEAB481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  <w:p w14:paraId="448C1371" w14:textId="77777777" w:rsidR="0041056A" w:rsidRPr="00D6522E" w:rsidRDefault="0041056A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</w:tc>
      </w:tr>
      <w:tr w:rsidR="0041056A" w:rsidRPr="00512BD6" w14:paraId="3AC08734" w14:textId="77777777" w:rsidTr="00961DB5">
        <w:tc>
          <w:tcPr>
            <w:tcW w:w="766" w:type="pct"/>
            <w:shd w:val="clear" w:color="auto" w:fill="auto"/>
          </w:tcPr>
          <w:p w14:paraId="47654A03" w14:textId="62FFCDE7" w:rsidR="0041056A" w:rsidRPr="0069719E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101" w:name="_Toc125971543"/>
            <w:bookmarkStart w:id="102" w:name="_Toc126746440"/>
            <w:bookmarkStart w:id="103" w:name="_Toc126746589"/>
            <w:bookmarkStart w:id="104" w:name="_Toc126750601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L-CARNITINA</w:t>
            </w:r>
            <w:bookmarkEnd w:id="101"/>
            <w:bookmarkEnd w:id="102"/>
            <w:bookmarkEnd w:id="103"/>
            <w:bookmarkEnd w:id="104"/>
            <w:r w:rsidR="0041056A" w:rsidRPr="0069719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, para uso VO.</w:t>
            </w:r>
          </w:p>
          <w:p w14:paraId="13D52F4E" w14:textId="7581F0C0" w:rsidR="0041056A" w:rsidRPr="00973196" w:rsidRDefault="0041056A" w:rsidP="00700B37">
            <w:pPr>
              <w:spacing w:line="276" w:lineRule="auto"/>
              <w:jc w:val="left"/>
              <w:rPr>
                <w:rFonts w:ascii="Calibri" w:hAnsi="Calibri" w:cs="Calibri"/>
                <w:bCs/>
                <w:color w:val="C00000"/>
                <w:sz w:val="22"/>
                <w:szCs w:val="22"/>
                <w:lang w:val="pt-BR"/>
              </w:rPr>
            </w:pPr>
            <w:r w:rsidRPr="00FE4AFA">
              <w:rPr>
                <w:rFonts w:ascii="Calibri" w:hAnsi="Calibri" w:cs="Calibri"/>
                <w:bCs/>
                <w:i/>
                <w:sz w:val="22"/>
                <w:szCs w:val="22"/>
                <w:lang w:val="pt-BR"/>
              </w:rPr>
              <w:t>No Brasil não se encontra disponível a apresentação para uso IV (Carnitor</w:t>
            </w:r>
            <w:r w:rsidRPr="00FE4AFA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  <w:lang w:val="pt-BR"/>
              </w:rPr>
              <w:t>R</w:t>
            </w:r>
            <w:r w:rsidRPr="00FE4AFA">
              <w:rPr>
                <w:rFonts w:ascii="Calibri" w:hAnsi="Calibri" w:cs="Calibri"/>
                <w:bCs/>
                <w:i/>
                <w:sz w:val="22"/>
                <w:szCs w:val="22"/>
                <w:lang w:val="pt-BR"/>
              </w:rPr>
              <w:t>, 5 ml= 1g), preferencial para tratamento dos casos graves</w:t>
            </w:r>
            <w:r w:rsidRPr="00973196">
              <w:rPr>
                <w:rFonts w:ascii="Calibri" w:hAnsi="Calibri" w:cs="Calibri"/>
                <w:bCs/>
                <w:i/>
                <w:color w:val="C00000"/>
                <w:sz w:val="22"/>
                <w:szCs w:val="22"/>
                <w:lang w:val="pt-BR"/>
              </w:rPr>
              <w:t>.</w:t>
            </w:r>
          </w:p>
        </w:tc>
        <w:tc>
          <w:tcPr>
            <w:tcW w:w="1039" w:type="pct"/>
            <w:shd w:val="clear" w:color="auto" w:fill="auto"/>
          </w:tcPr>
          <w:p w14:paraId="7484917C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980B4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Intoxicações graves por ácido valpróico e valproato de sódio</w:t>
            </w:r>
          </w:p>
          <w:p w14:paraId="1CCE2D32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2CA8A76A" w14:textId="77777777" w:rsidR="0041056A" w:rsidRPr="00980B4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</w:t>
            </w:r>
            <w:r w:rsidRPr="00980B4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336" w:type="pct"/>
          </w:tcPr>
          <w:p w14:paraId="5D2B5596" w14:textId="77777777" w:rsidR="0041056A" w:rsidRPr="000728AB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728A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Indicada para pacientes que evoluem com hiperamonemia (&gt; 80 </w:t>
            </w:r>
            <w:r w:rsidRPr="000728AB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mcg</w:t>
            </w:r>
            <w:r w:rsidRPr="000728A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/dl ou &gt; 35 </w:t>
            </w:r>
            <w:r w:rsidRPr="000728AB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µm</w:t>
            </w:r>
            <w:r w:rsidRPr="000728AB">
              <w:rPr>
                <w:rFonts w:ascii="Calibri" w:hAnsi="Calibri"/>
                <w:b/>
                <w:sz w:val="22"/>
                <w:szCs w:val="22"/>
                <w:lang w:val="pt-BR"/>
              </w:rPr>
              <w:t>ol/l), hepatoxicidade, acidose metabólica, encefalopatia ou coma induzido pela ácido valpróico, por overdoses de uso crônico ou agudo, naqueles com ingestão de doses &gt; 400 mg/kg e nível sérico de valproato &gt; 450 mg/l.</w:t>
            </w:r>
          </w:p>
          <w:p w14:paraId="627F51A7" w14:textId="77777777" w:rsidR="0041056A" w:rsidRPr="000728AB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496C5EAA" w14:textId="77777777" w:rsidR="0041056A" w:rsidRPr="000728AB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728A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Doses recomendadas: </w:t>
            </w:r>
            <w:r w:rsidRPr="000728AB">
              <w:rPr>
                <w:rFonts w:ascii="Calibri" w:hAnsi="Calibri"/>
                <w:bCs/>
                <w:sz w:val="22"/>
                <w:szCs w:val="22"/>
                <w:lang w:val="pt-BR"/>
              </w:rPr>
              <w:t>100 mg/kg/dia, a cada 6 h, no máximo de 3 g/dia.</w:t>
            </w:r>
          </w:p>
        </w:tc>
        <w:tc>
          <w:tcPr>
            <w:tcW w:w="859" w:type="pct"/>
          </w:tcPr>
          <w:p w14:paraId="5D788848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Apresentação:</w:t>
            </w:r>
            <w:r w:rsidRPr="00C60F1C">
              <w:rPr>
                <w:rFonts w:ascii="Calibri" w:hAnsi="Calibri"/>
                <w:sz w:val="22"/>
                <w:szCs w:val="22"/>
                <w:lang w:val="pt-BR"/>
              </w:rPr>
              <w:t xml:space="preserve"> soluç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ão de 50 ml contendo 5g de L-carnitina para uso VO (</w:t>
            </w:r>
            <w:r w:rsidRPr="00C60F1C">
              <w:rPr>
                <w:rFonts w:ascii="Calibri" w:hAnsi="Calibri"/>
                <w:sz w:val="22"/>
                <w:szCs w:val="22"/>
                <w:lang w:val="pt-BR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00 m</w:t>
            </w:r>
            <w:r w:rsidRPr="00C60F1C">
              <w:rPr>
                <w:rFonts w:ascii="Calibri" w:hAnsi="Calibri"/>
                <w:sz w:val="22"/>
                <w:szCs w:val="22"/>
                <w:lang w:val="pt-BR"/>
              </w:rPr>
              <w:t>g/m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l), manipulada em farmácia magistral.</w:t>
            </w:r>
          </w:p>
          <w:p w14:paraId="74111AE7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4F420D92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A3164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DE59E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2</w:t>
            </w:r>
            <w:r w:rsidRPr="00DE59E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frascos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(10 g)</w:t>
            </w:r>
          </w:p>
          <w:p w14:paraId="340F8B68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5363E7CD" w14:textId="4055ED2E" w:rsidR="0041056A" w:rsidRPr="00C60F1C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</w:tc>
      </w:tr>
      <w:tr w:rsidR="0041056A" w:rsidRPr="00862C21" w14:paraId="74B9E99A" w14:textId="77777777" w:rsidTr="00961DB5">
        <w:tc>
          <w:tcPr>
            <w:tcW w:w="766" w:type="pct"/>
            <w:shd w:val="clear" w:color="auto" w:fill="auto"/>
          </w:tcPr>
          <w:p w14:paraId="070FA6AB" w14:textId="2724CC3F" w:rsidR="0041056A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05" w:name="_Toc125971544"/>
            <w:bookmarkStart w:id="106" w:name="_Toc126746441"/>
            <w:bookmarkStart w:id="107" w:name="_Toc126746590"/>
            <w:bookmarkStart w:id="108" w:name="_Toc126750602"/>
            <w:r w:rsidRPr="0069719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NALOXONA</w:t>
            </w:r>
            <w:bookmarkEnd w:id="105"/>
            <w:bookmarkEnd w:id="106"/>
            <w:bookmarkEnd w:id="107"/>
            <w:bookmarkEnd w:id="108"/>
            <w:r w:rsidR="0041056A" w:rsidRPr="0069719E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41056A" w:rsidRPr="006B34C0">
              <w:rPr>
                <w:rFonts w:ascii="Calibri" w:hAnsi="Calibri" w:cs="Calibri"/>
                <w:b/>
                <w:sz w:val="22"/>
                <w:szCs w:val="22"/>
              </w:rPr>
              <w:t xml:space="preserve"> inj.</w:t>
            </w:r>
          </w:p>
        </w:tc>
        <w:tc>
          <w:tcPr>
            <w:tcW w:w="1039" w:type="pct"/>
            <w:shd w:val="clear" w:color="auto" w:fill="auto"/>
          </w:tcPr>
          <w:p w14:paraId="7E799A40" w14:textId="77777777" w:rsidR="0041056A" w:rsidRPr="00A05D4F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A05D4F">
              <w:rPr>
                <w:rFonts w:ascii="Calibri" w:hAnsi="Calibri"/>
                <w:b/>
                <w:i/>
                <w:color w:val="C00000"/>
                <w:sz w:val="22"/>
                <w:szCs w:val="22"/>
              </w:rPr>
              <w:t>Opioides</w:t>
            </w:r>
            <w:r w:rsidRPr="00A05D4F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</w:p>
          <w:p w14:paraId="1A1F88EE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6D4D9B8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6" w:type="pct"/>
          </w:tcPr>
          <w:p w14:paraId="6EB137B7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570D76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Naloxona é um antagonista competitivo de todos os subtipos de receptores opi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o</w:t>
            </w:r>
            <w:r w:rsidRPr="00570D76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ides (</w:t>
            </w:r>
            <w:r w:rsidRPr="00570D7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mu, kappa</w:t>
            </w:r>
            <w:r w:rsidRPr="00570D76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e </w:t>
            </w:r>
            <w:r w:rsidRPr="00570D7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delta</w:t>
            </w:r>
            <w:r w:rsidRPr="00570D76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)</w:t>
            </w:r>
            <w:r w:rsidRPr="0085728E">
              <w:rPr>
                <w:rFonts w:ascii="Calibri" w:hAnsi="Calibri"/>
                <w:b/>
                <w:sz w:val="22"/>
                <w:szCs w:val="22"/>
                <w:lang w:val="pt-BR"/>
              </w:rPr>
              <w:t>, de maneira não equivalente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1FB35973" w14:textId="77777777" w:rsidR="0041056A" w:rsidRPr="00570D76" w:rsidRDefault="0041056A" w:rsidP="00961DB5">
            <w:pPr>
              <w:pStyle w:val="PargrafodaLista"/>
              <w:numPr>
                <w:ilvl w:val="0"/>
                <w:numId w:val="50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570D76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Receptores </w:t>
            </w:r>
            <w:r w:rsidRPr="00570D7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mu</w:t>
            </w:r>
            <w:r w:rsidRPr="00570D76">
              <w:rPr>
                <w:rFonts w:ascii="Calibri" w:hAnsi="Calibri"/>
                <w:b/>
                <w:sz w:val="22"/>
                <w:szCs w:val="22"/>
                <w:lang w:val="pt-BR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Pr="00570D7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analgesia,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sedação, miose, euforia, </w:t>
            </w:r>
            <w:r w:rsidRPr="00570D76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depressão respiratória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e diminuição da motilidade intestinal.</w:t>
            </w:r>
          </w:p>
          <w:p w14:paraId="3E7B4EE5" w14:textId="77777777" w:rsidR="0041056A" w:rsidRDefault="0041056A" w:rsidP="00961DB5">
            <w:pPr>
              <w:pStyle w:val="PargrafodaLista"/>
              <w:numPr>
                <w:ilvl w:val="0"/>
                <w:numId w:val="50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570D76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Receptores </w:t>
            </w:r>
            <w:r w:rsidRPr="00570D7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kappa</w:t>
            </w:r>
            <w:r w:rsidRPr="00570D76">
              <w:rPr>
                <w:rFonts w:ascii="Calibri" w:hAnsi="Calibri"/>
                <w:b/>
                <w:sz w:val="22"/>
                <w:szCs w:val="22"/>
                <w:lang w:val="pt-BR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analgesia medular, miose, disforia, ansiedade, pesadelos e alucinações.</w:t>
            </w:r>
          </w:p>
          <w:p w14:paraId="1B8E70EC" w14:textId="77777777" w:rsidR="0041056A" w:rsidRPr="00570D76" w:rsidRDefault="0041056A" w:rsidP="00961DB5">
            <w:pPr>
              <w:pStyle w:val="PargrafodaLista"/>
              <w:numPr>
                <w:ilvl w:val="0"/>
                <w:numId w:val="50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570D76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Receptores </w:t>
            </w:r>
            <w:r w:rsidRPr="00570D7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delta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: analgesia e fome.</w:t>
            </w:r>
          </w:p>
          <w:p w14:paraId="428EDD62" w14:textId="77777777" w:rsidR="0041056A" w:rsidRPr="00BE57CB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BE57CB">
              <w:rPr>
                <w:rFonts w:ascii="Calibri" w:hAnsi="Calibri"/>
                <w:b/>
                <w:sz w:val="22"/>
                <w:szCs w:val="22"/>
                <w:lang w:val="pt-BR"/>
              </w:rPr>
              <w:t>Os antagonistas opioides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</w:t>
            </w:r>
            <w:r w:rsidRPr="00BE57CB">
              <w:rPr>
                <w:rFonts w:ascii="Calibri" w:hAnsi="Calibri"/>
                <w:b/>
                <w:sz w:val="22"/>
                <w:szCs w:val="22"/>
                <w:lang w:val="pt-BR"/>
              </w:rPr>
              <w:t>naloxona e naltreoxona são mais potentes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no antagonismo dos receptores </w:t>
            </w:r>
            <w:r w:rsidRPr="00BE57C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mu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; doses mais elevadas são necessárias para antagonizar os receptores </w:t>
            </w:r>
            <w:r w:rsidRPr="00BE57C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kappa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e </w:t>
            </w:r>
            <w:r w:rsidRPr="00BE57CB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delta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. </w:t>
            </w:r>
            <w:r w:rsidRPr="00BE57C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 </w:t>
            </w:r>
          </w:p>
          <w:p w14:paraId="7DCFD5A9" w14:textId="77777777" w:rsidR="0041056A" w:rsidRPr="00BE57CB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2944A52A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A317D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NALOXONA É INDICADA PARA REVERSÃO DA SÍNDROME OPIOIDE, PARTICULARMENTE </w:t>
            </w:r>
            <w:r w:rsidRPr="00DD4738"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  <w:t>DEPRESSÃO RESPIRATÓRIA</w:t>
            </w:r>
            <w:r w:rsidRPr="002E3911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. </w:t>
            </w:r>
          </w:p>
          <w:p w14:paraId="4980FDF8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u w:val="single"/>
                <w:lang w:val="pt-BR"/>
              </w:rPr>
            </w:pPr>
          </w:p>
          <w:p w14:paraId="749BF865" w14:textId="77777777" w:rsidR="0041056A" w:rsidRPr="00E84293" w:rsidRDefault="0041056A" w:rsidP="00961DB5">
            <w:pPr>
              <w:spacing w:line="276" w:lineRule="auto"/>
              <w:jc w:val="left"/>
              <w:rPr>
                <w:rFonts w:ascii="Calibri" w:hAnsi="Calibri"/>
                <w:i/>
                <w:iCs/>
                <w:color w:val="C00000"/>
                <w:sz w:val="22"/>
                <w:szCs w:val="22"/>
                <w:lang w:val="pt-BR"/>
              </w:rPr>
            </w:pPr>
            <w:r w:rsidRPr="002E391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u w:val="single"/>
                <w:lang w:val="pt-BR"/>
              </w:rPr>
              <w:t xml:space="preserve">INICIAR COM DOSES MAIS BAIXAS EM PACIENTES </w:t>
            </w:r>
            <w:r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u w:val="single"/>
                <w:lang w:val="pt-BR"/>
              </w:rPr>
              <w:t xml:space="preserve">EM USO CRÔNICO DE OPIOIDES, </w:t>
            </w:r>
            <w:r w:rsidRPr="002E3911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u w:val="single"/>
                <w:lang w:val="pt-BR"/>
              </w:rPr>
              <w:t>COM RISCO DE DESENVOLVER UMA SÍNDROME DE ABSTINÊNCIA</w:t>
            </w:r>
            <w:r w:rsidRPr="00E84293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, que inclui sinais/sintomas como náuseas, vômitos, sudorese, tremores, taquicardia, hiperventilaçâo e hipertensão</w:t>
            </w:r>
            <w:r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.</w:t>
            </w:r>
            <w:r w:rsidRPr="00E84293">
              <w:rPr>
                <w:rFonts w:ascii="Calibri" w:hAnsi="Calibri"/>
                <w:i/>
                <w:iCs/>
                <w:color w:val="C00000"/>
                <w:sz w:val="22"/>
                <w:szCs w:val="22"/>
                <w:lang w:val="pt-BR"/>
              </w:rPr>
              <w:t xml:space="preserve"> </w:t>
            </w:r>
          </w:p>
          <w:p w14:paraId="1E952AB6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5B9450DF" w14:textId="77777777" w:rsidR="0041056A" w:rsidRPr="00A531F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OVERDOSE AGUDA, </w:t>
            </w:r>
            <w:r w:rsidRPr="00A531F6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COM DEPRESSÃO RESPIRATÓRIA</w:t>
            </w:r>
            <w:r w:rsidRPr="00A531F6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, </w:t>
            </w:r>
            <w:r w:rsidRPr="003D78AC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SEM RISCO DE REAÇÕES DE ABSTINÊNCIA</w:t>
            </w:r>
          </w:p>
          <w:p w14:paraId="63EF6329" w14:textId="77777777" w:rsidR="0041056A" w:rsidRPr="006F2310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F2310">
              <w:rPr>
                <w:rFonts w:ascii="Calibri" w:hAnsi="Calibri"/>
                <w:b/>
                <w:sz w:val="22"/>
                <w:szCs w:val="22"/>
                <w:lang w:val="pt-BR"/>
              </w:rPr>
              <w:t>Crianças &lt; 12 anos</w:t>
            </w:r>
            <w:r w:rsidRPr="006F2310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71BC082A" w14:textId="77777777" w:rsidR="0041056A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Dose inicial de 100 mcg/kg/IV (</w:t>
            </w:r>
            <w:r w:rsidRPr="00D44A45">
              <w:rPr>
                <w:rFonts w:ascii="Calibri" w:hAnsi="Calibri"/>
                <w:sz w:val="22"/>
                <w:szCs w:val="22"/>
                <w:lang w:val="pt-BR"/>
              </w:rPr>
              <w:t>0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,</w:t>
            </w:r>
            <w:r w:rsidRPr="00D44A45">
              <w:rPr>
                <w:rFonts w:ascii="Calibri" w:hAnsi="Calibri"/>
                <w:sz w:val="22"/>
                <w:szCs w:val="22"/>
                <w:lang w:val="pt-BR"/>
              </w:rPr>
              <w:t xml:space="preserve">1 mg/kg, </w:t>
            </w:r>
            <w:r w:rsidRPr="00D44A45">
              <w:rPr>
                <w:rFonts w:ascii="Calibri" w:hAnsi="Calibri"/>
                <w:b/>
                <w:sz w:val="22"/>
                <w:szCs w:val="22"/>
                <w:lang w:val="pt-BR"/>
              </w:rPr>
              <w:t>dose máxima de 2 mg</w:t>
            </w:r>
            <w:r w:rsidRPr="00D44A45">
              <w:rPr>
                <w:rFonts w:ascii="Calibri" w:hAnsi="Calibri"/>
                <w:sz w:val="22"/>
                <w:szCs w:val="22"/>
                <w:lang w:val="pt-BR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</w:p>
          <w:p w14:paraId="55921F27" w14:textId="77777777" w:rsidR="0041056A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Caso não ocorra resposta, pode ser repetida com intervalos de 2-3 minutos, </w:t>
            </w:r>
            <w:r w:rsidRPr="00DA317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até a dose máxima total de 2 mg</w:t>
            </w:r>
            <w:r w:rsidRPr="00A05D4F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61C20A96" w14:textId="77777777" w:rsidR="0041056A" w:rsidRPr="006F2310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F2310">
              <w:rPr>
                <w:rFonts w:ascii="Calibri" w:hAnsi="Calibri"/>
                <w:b/>
                <w:sz w:val="22"/>
                <w:szCs w:val="22"/>
                <w:lang w:val="pt-BR"/>
              </w:rPr>
              <w:t>&gt; 12 anos e adultos</w:t>
            </w:r>
            <w:r w:rsidRPr="006F2310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6C1CFA26" w14:textId="77777777" w:rsidR="0041056A" w:rsidRPr="00DA317D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781FB4">
              <w:rPr>
                <w:rFonts w:ascii="Calibri" w:hAnsi="Calibri"/>
                <w:b/>
                <w:sz w:val="22"/>
                <w:szCs w:val="22"/>
                <w:lang w:val="pt-BR"/>
              </w:rPr>
              <w:t>Iniciar com 0,4 mg IV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  <w:r w:rsidRPr="00DA317D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Em geral, apenas essa dose é suficiente para reverter a depressão respiratória. </w:t>
            </w:r>
          </w:p>
          <w:p w14:paraId="2EB585F5" w14:textId="3B78E650" w:rsidR="0041056A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E36738">
              <w:rPr>
                <w:rFonts w:ascii="Calibri" w:hAnsi="Calibri"/>
                <w:sz w:val="22"/>
                <w:szCs w:val="22"/>
                <w:lang w:val="pt-BR"/>
              </w:rPr>
              <w:t>Caso não ocorra resposta em 2-3 minutos, aplicar uma nov</w:t>
            </w:r>
            <w:r w:rsidR="00245F5E">
              <w:rPr>
                <w:rFonts w:ascii="Calibri" w:hAnsi="Calibri"/>
                <w:sz w:val="22"/>
                <w:szCs w:val="22"/>
                <w:lang w:val="pt-BR"/>
              </w:rPr>
              <w:t>a</w:t>
            </w:r>
            <w:r w:rsidRPr="00E36738">
              <w:rPr>
                <w:rFonts w:ascii="Calibri" w:hAnsi="Calibri"/>
                <w:sz w:val="22"/>
                <w:szCs w:val="22"/>
                <w:lang w:val="pt-BR"/>
              </w:rPr>
              <w:t xml:space="preserve"> dose de 0,8 mg IV a cada 2-3 minutos, até o total de 2 mg. Se mesmo assim não for observada resposta favorável, aplicar uma dose de 2 mg. </w:t>
            </w:r>
          </w:p>
          <w:p w14:paraId="04E0CF1D" w14:textId="77777777" w:rsidR="0041056A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2069B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Doses elevadas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(&gt; </w:t>
            </w:r>
            <w:r w:rsidRPr="002069B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4 mg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)</w:t>
            </w:r>
            <w:r w:rsidRPr="002069B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, podem ser necessárias para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controle inicial de </w:t>
            </w:r>
            <w:r w:rsidRPr="002069B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pacientes expostos a doses massivas de opioides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ou a </w:t>
            </w:r>
            <w:r w:rsidRPr="002069B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opioides muito potentes, como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buprenorfina, fentanil e análogos.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 </w:t>
            </w:r>
          </w:p>
          <w:p w14:paraId="3F764D79" w14:textId="77777777" w:rsidR="0041056A" w:rsidRPr="00385143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385143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Infusão contínua (IC) de naloxona deve ser considerada quando várias doses foram utilizadas para controle inicial, e nos casos onde a exposição foi a opioides de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ação </w:t>
            </w:r>
            <w:r w:rsidRPr="00385143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prolongada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, tendo em vista a meia-vida da naloxona (adultos, 30-90 minutos; neonatos, 3-4h)</w:t>
            </w:r>
            <w:r w:rsidRPr="00385143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. </w:t>
            </w:r>
          </w:p>
          <w:p w14:paraId="3886EECD" w14:textId="77777777" w:rsidR="0041056A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C343C2">
              <w:rPr>
                <w:rFonts w:ascii="Calibri" w:hAnsi="Calibri"/>
                <w:sz w:val="22"/>
                <w:szCs w:val="22"/>
                <w:lang w:val="pt-BR"/>
              </w:rPr>
              <w:t xml:space="preserve">Recomenda-se iniciar a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IC </w:t>
            </w:r>
            <w:r w:rsidRPr="00C343C2">
              <w:rPr>
                <w:rFonts w:ascii="Calibri" w:hAnsi="Calibri"/>
                <w:sz w:val="22"/>
                <w:szCs w:val="22"/>
                <w:lang w:val="pt-BR"/>
              </w:rPr>
              <w:t>com uma dose equivalente a 60%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-75%</w:t>
            </w:r>
            <w:r w:rsidRPr="00C343C2">
              <w:rPr>
                <w:rFonts w:ascii="Calibri" w:hAnsi="Calibri"/>
                <w:sz w:val="22"/>
                <w:szCs w:val="22"/>
                <w:lang w:val="pt-BR"/>
              </w:rPr>
              <w:t xml:space="preserve"> do total da dose de naloxona empregada para reversão da depressão respiratória.</w:t>
            </w:r>
          </w:p>
          <w:p w14:paraId="2B841221" w14:textId="77777777" w:rsidR="0041056A" w:rsidRPr="008D4198" w:rsidRDefault="0041056A" w:rsidP="00961DB5">
            <w:pPr>
              <w:pStyle w:val="PargrafodaLista"/>
              <w:numPr>
                <w:ilvl w:val="1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86C3C">
              <w:rPr>
                <w:rFonts w:ascii="Calibri" w:hAnsi="Calibri"/>
                <w:sz w:val="22"/>
                <w:szCs w:val="22"/>
                <w:lang w:val="pt-BR"/>
              </w:rPr>
              <w:t xml:space="preserve">Exemplo: se 800 mcg foram necessários,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iniciar </w:t>
            </w:r>
            <w:r w:rsidRPr="00686C3C">
              <w:rPr>
                <w:rFonts w:ascii="Calibri" w:hAnsi="Calibri"/>
                <w:sz w:val="22"/>
                <w:szCs w:val="22"/>
                <w:lang w:val="pt-BR"/>
              </w:rPr>
              <w:t>a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IC com 500 mcg para correr em uma hora, ajustando a dose de acordo com a </w:t>
            </w:r>
            <w:r w:rsidRPr="008D4198">
              <w:rPr>
                <w:rFonts w:ascii="Calibri" w:hAnsi="Calibri"/>
                <w:sz w:val="22"/>
                <w:szCs w:val="22"/>
                <w:lang w:val="pt-BR"/>
              </w:rPr>
              <w:t>resposta clínica caso a caso.</w:t>
            </w:r>
          </w:p>
          <w:p w14:paraId="04B845CC" w14:textId="77777777" w:rsidR="0041056A" w:rsidRPr="008D4198" w:rsidRDefault="0041056A" w:rsidP="00961DB5">
            <w:pPr>
              <w:pStyle w:val="PargrafodaLista"/>
              <w:numPr>
                <w:ilvl w:val="1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8D4198">
              <w:rPr>
                <w:rFonts w:ascii="Calibri" w:hAnsi="Calibri"/>
                <w:sz w:val="22"/>
                <w:szCs w:val="22"/>
                <w:lang w:val="pt-BR"/>
              </w:rPr>
              <w:t xml:space="preserve">Para se obter uma solução de 50 ml contendo 200 mcg/ml de naloxona, diluir 25 ampolas de naloxona (1 ml= 0,4 mg) em 25 ml de SG5%. Seguindo o exemplo acima, a bomba deveria ser programada para iniciar a infusão com 2,5 ml/h.  </w:t>
            </w:r>
          </w:p>
          <w:p w14:paraId="2C5A535D" w14:textId="77777777" w:rsidR="0041056A" w:rsidRPr="008D4198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</w:p>
          <w:p w14:paraId="203CEFBA" w14:textId="77777777" w:rsidR="0041056A" w:rsidRPr="008D4198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8D4198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DEPRESSÃO RESPIRATÓRIA</w:t>
            </w:r>
            <w:r w:rsidRPr="008D419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,</w:t>
            </w:r>
            <w:r w:rsidRPr="008D4198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</w:t>
            </w:r>
            <w:r w:rsidRPr="008D4198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>COM RISCO DE REAÇÕES DE ABSTINÊNCIA</w:t>
            </w:r>
            <w:r w:rsidRPr="008D4198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, COMO DEPENDENTES QUÍMICOS DE OPIOIDES, E EM PACIENTES EM USO CRÔNICO DE OPIOIDES PARA ANALGESIA</w:t>
            </w:r>
          </w:p>
          <w:p w14:paraId="1F66A3D0" w14:textId="77777777" w:rsidR="0041056A" w:rsidRPr="006F2310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8D4198">
              <w:rPr>
                <w:rFonts w:ascii="Calibri" w:hAnsi="Calibri"/>
                <w:b/>
                <w:sz w:val="22"/>
                <w:szCs w:val="22"/>
                <w:lang w:val="pt-BR"/>
              </w:rPr>
              <w:t>Crianças &lt; 12 anos</w:t>
            </w:r>
            <w:r w:rsidRPr="006F2310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3FA72C4B" w14:textId="28285FE2" w:rsidR="0041056A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Dose inicial de 1-10 mcg/kg/IV (</w:t>
            </w:r>
            <w:r w:rsidRPr="00D44A45">
              <w:rPr>
                <w:rFonts w:ascii="Calibri" w:hAnsi="Calibri"/>
                <w:sz w:val="22"/>
                <w:szCs w:val="22"/>
                <w:lang w:val="pt-BR"/>
              </w:rPr>
              <w:t>0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,00</w:t>
            </w:r>
            <w:r w:rsidRPr="00D44A45">
              <w:rPr>
                <w:rFonts w:ascii="Calibri" w:hAnsi="Calibri"/>
                <w:sz w:val="22"/>
                <w:szCs w:val="22"/>
                <w:lang w:val="pt-BR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-0,010</w:t>
            </w:r>
            <w:r w:rsidRPr="00D44A45">
              <w:rPr>
                <w:rFonts w:ascii="Calibri" w:hAnsi="Calibri"/>
                <w:sz w:val="22"/>
                <w:szCs w:val="22"/>
                <w:lang w:val="pt-BR"/>
              </w:rPr>
              <w:t xml:space="preserve"> mg/kg, </w:t>
            </w:r>
            <w:r w:rsidRPr="00D44A4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dose máxima de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0</w:t>
            </w:r>
            <w:r w:rsidR="00245F5E">
              <w:rPr>
                <w:rFonts w:ascii="Calibri" w:hAnsi="Calibri"/>
                <w:b/>
                <w:sz w:val="22"/>
                <w:szCs w:val="22"/>
                <w:lang w:val="pt-BR"/>
              </w:rPr>
              <w:t>,</w:t>
            </w:r>
            <w:r w:rsidRPr="00D44A45">
              <w:rPr>
                <w:rFonts w:ascii="Calibri" w:hAnsi="Calibri"/>
                <w:b/>
                <w:sz w:val="22"/>
                <w:szCs w:val="22"/>
                <w:lang w:val="pt-BR"/>
              </w:rPr>
              <w:t>2 mg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(200 mcg</w:t>
            </w:r>
            <w:r w:rsidRPr="00D44A45">
              <w:rPr>
                <w:rFonts w:ascii="Calibri" w:hAnsi="Calibri"/>
                <w:sz w:val="22"/>
                <w:szCs w:val="22"/>
                <w:lang w:val="pt-BR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</w:p>
          <w:p w14:paraId="0B5B08E6" w14:textId="77777777" w:rsidR="0041056A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Caso não ocorra resposta, pode ser repetido com intervalos de 2-3 minutos, com as doses acima, até 5 vezes</w:t>
            </w:r>
            <w:r w:rsidRPr="00A05D4F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3E711641" w14:textId="77777777" w:rsidR="0041056A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Se ainda não houver resposta, administrar uma dose de 100 mcg/kg, no </w:t>
            </w:r>
            <w:r w:rsidRPr="00DB268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máximo de 2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DB268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mg</w:t>
            </w:r>
            <w:r w:rsidRPr="00A05D4F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6F231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Rever o diagnóstico caso não ocorra resposta.</w:t>
            </w:r>
          </w:p>
          <w:p w14:paraId="136F8605" w14:textId="77777777" w:rsidR="0041056A" w:rsidRPr="00DB2680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38752F74" w14:textId="77777777" w:rsidR="0041056A" w:rsidRPr="006F2310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F2310">
              <w:rPr>
                <w:rFonts w:ascii="Calibri" w:hAnsi="Calibri"/>
                <w:b/>
                <w:sz w:val="22"/>
                <w:szCs w:val="22"/>
                <w:lang w:val="pt-BR"/>
              </w:rPr>
              <w:t>&gt; 12 anos e adultos</w:t>
            </w:r>
            <w:r w:rsidRPr="006F2310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02AA537B" w14:textId="77777777" w:rsidR="0041056A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Dose inicial de 100-200 mcg IV (0,1-0,2 mg)</w:t>
            </w:r>
            <w:r w:rsidRPr="00821E54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</w:p>
          <w:p w14:paraId="5B513D18" w14:textId="77777777" w:rsidR="0041056A" w:rsidRPr="00821E54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821E54">
              <w:rPr>
                <w:rFonts w:ascii="Calibri" w:hAnsi="Calibri"/>
                <w:sz w:val="22"/>
                <w:szCs w:val="22"/>
                <w:lang w:val="pt-BR"/>
              </w:rPr>
              <w:t xml:space="preserve">Caso não ocorra resposta em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2</w:t>
            </w:r>
            <w:r w:rsidRPr="00821E54">
              <w:rPr>
                <w:rFonts w:ascii="Calibri" w:hAnsi="Calibri"/>
                <w:sz w:val="22"/>
                <w:szCs w:val="22"/>
                <w:lang w:val="pt-BR"/>
              </w:rPr>
              <w:t>-3 minutos, aplicar uma nove dose de 100 mcg IV (0,1 mg).</w:t>
            </w:r>
          </w:p>
          <w:p w14:paraId="56A1B064" w14:textId="77777777" w:rsidR="0041056A" w:rsidRPr="00821E54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821E54">
              <w:rPr>
                <w:rFonts w:ascii="Calibri" w:hAnsi="Calibri"/>
                <w:sz w:val="22"/>
                <w:szCs w:val="22"/>
                <w:lang w:val="pt-BR"/>
              </w:rPr>
              <w:t xml:space="preserve">Se ainda não houver resposta, administrar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nova </w:t>
            </w:r>
            <w:r w:rsidRPr="00821E54">
              <w:rPr>
                <w:rFonts w:ascii="Calibri" w:hAnsi="Calibri"/>
                <w:sz w:val="22"/>
                <w:szCs w:val="22"/>
                <w:lang w:val="pt-BR"/>
              </w:rPr>
              <w:t>dose de 100 mcg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IV (0,1 mg)</w:t>
            </w:r>
            <w:r w:rsidRPr="00821E54">
              <w:rPr>
                <w:rFonts w:ascii="Calibri" w:hAnsi="Calibri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nos mesmos intervalos, </w:t>
            </w:r>
            <w:r w:rsidRPr="00821E54">
              <w:rPr>
                <w:rFonts w:ascii="Calibri" w:hAnsi="Calibri"/>
                <w:sz w:val="22"/>
                <w:szCs w:val="22"/>
                <w:lang w:val="pt-BR"/>
              </w:rPr>
              <w:t xml:space="preserve">no </w:t>
            </w:r>
            <w:r w:rsidRPr="00821E54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máximo de 2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821E54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mg</w:t>
            </w:r>
            <w:r w:rsidRPr="00821E54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13F8C1AD" w14:textId="77777777" w:rsidR="0041056A" w:rsidRPr="00821E54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821E54">
              <w:rPr>
                <w:rFonts w:ascii="Calibri" w:hAnsi="Calibri"/>
                <w:sz w:val="22"/>
                <w:szCs w:val="22"/>
                <w:lang w:val="pt-BR"/>
              </w:rPr>
              <w:t xml:space="preserve">Se ainda não houver resposta, administrar </w:t>
            </w:r>
            <w:r w:rsidRPr="00821E54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nova dose de 2 mg IV</w:t>
            </w:r>
            <w:r w:rsidRPr="00821E54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492AB90D" w14:textId="77777777" w:rsidR="0041056A" w:rsidRPr="00821E54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2069B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Doses elevadas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(</w:t>
            </w:r>
            <w:r w:rsidRPr="002069B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4 mg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)</w:t>
            </w:r>
            <w:r w:rsidRPr="002069B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, podem ser necessárias para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controle de intoxicados graves.</w:t>
            </w:r>
          </w:p>
          <w:p w14:paraId="070A1233" w14:textId="77777777" w:rsidR="0041056A" w:rsidRPr="009A46EC" w:rsidRDefault="0041056A" w:rsidP="00961DB5">
            <w:pPr>
              <w:spacing w:line="276" w:lineRule="auto"/>
              <w:jc w:val="left"/>
              <w:rPr>
                <w:rFonts w:ascii="Calibri" w:hAnsi="Calibri"/>
                <w:iCs/>
                <w:sz w:val="22"/>
                <w:szCs w:val="22"/>
                <w:lang w:val="pt-BR"/>
              </w:rPr>
            </w:pPr>
          </w:p>
          <w:p w14:paraId="2868E647" w14:textId="77777777" w:rsidR="0041056A" w:rsidRPr="00782CFF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iCs/>
                <w:sz w:val="22"/>
                <w:szCs w:val="22"/>
                <w:lang w:val="pt-BR"/>
              </w:rPr>
            </w:pPr>
            <w:r w:rsidRPr="00782CFF">
              <w:rPr>
                <w:rFonts w:ascii="Calibri" w:hAnsi="Calibri"/>
                <w:b/>
                <w:iCs/>
                <w:sz w:val="22"/>
                <w:szCs w:val="22"/>
                <w:lang w:val="pt-BR"/>
              </w:rPr>
              <w:t xml:space="preserve">Resposta inadequada a doses elevadas de naloxona, 8-10 mg, pode sugerir que opioides convencionais não foram os responsáveis pela sedação e depressão respiratória, que outros depressores neurológicos podem estar envolvidos, ou o paciente evoluiu com dano cerebral grave (encefalopatia hipóxico-isquêmica). </w:t>
            </w:r>
          </w:p>
          <w:p w14:paraId="5B56EAAA" w14:textId="77777777" w:rsidR="0041056A" w:rsidRPr="00A05D4F" w:rsidRDefault="0041056A" w:rsidP="00961DB5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D37C97">
              <w:rPr>
                <w:rFonts w:ascii="Calibri" w:hAnsi="Calibri"/>
                <w:sz w:val="22"/>
                <w:szCs w:val="22"/>
                <w:lang w:val="pt-BR"/>
              </w:rPr>
              <w:t>Na impossibilidade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de acesso venoso no atendimento inicial, naloxona pode ser aplicada IM.</w:t>
            </w:r>
            <w:r w:rsidRPr="00D37C97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9" w:type="pct"/>
          </w:tcPr>
          <w:p w14:paraId="3075506E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ampolas de 1 ml com 0,4mg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de naloxona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1F9B492E" w14:textId="77777777" w:rsidR="0041056A" w:rsidRPr="00D44A45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23532C8D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C11CD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>: 30 ampolas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(dose total de 12 mg)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48E0D199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6846871A" w14:textId="77777777" w:rsidR="0041056A" w:rsidRPr="00F23449" w:rsidRDefault="0041056A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41056A" w:rsidRPr="00512BD6" w14:paraId="0C065E8E" w14:textId="77777777" w:rsidTr="00961DB5">
        <w:tc>
          <w:tcPr>
            <w:tcW w:w="766" w:type="pct"/>
            <w:shd w:val="clear" w:color="auto" w:fill="auto"/>
          </w:tcPr>
          <w:p w14:paraId="1B43AE23" w14:textId="175913A7" w:rsidR="0041056A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109" w:name="_Toc125971545"/>
            <w:bookmarkStart w:id="110" w:name="_Toc126746442"/>
            <w:bookmarkStart w:id="111" w:name="_Toc126746591"/>
            <w:bookmarkStart w:id="112" w:name="_Toc126750603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NEOSTIGMINA</w:t>
            </w:r>
            <w:bookmarkEnd w:id="109"/>
            <w:bookmarkEnd w:id="110"/>
            <w:bookmarkEnd w:id="111"/>
            <w:bookmarkEnd w:id="112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 xml:space="preserve"> </w:t>
            </w:r>
            <w:r w:rsidR="0041056A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(metilsulfato de neostigmina), inj.</w:t>
            </w:r>
          </w:p>
        </w:tc>
        <w:tc>
          <w:tcPr>
            <w:tcW w:w="1039" w:type="pct"/>
            <w:shd w:val="clear" w:color="auto" w:fill="auto"/>
          </w:tcPr>
          <w:p w14:paraId="0E7C2B7E" w14:textId="77777777" w:rsidR="0041056A" w:rsidRPr="00501B6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Envenenamento grave por serpentes corais-verdadeiras do gênero </w:t>
            </w:r>
            <w:r w:rsidRPr="00F81229">
              <w:rPr>
                <w:rFonts w:ascii="Calibri" w:hAnsi="Calibri"/>
                <w:b/>
                <w:i/>
                <w:color w:val="C00000"/>
                <w:sz w:val="22"/>
                <w:szCs w:val="22"/>
                <w:u w:val="single"/>
                <w:lang w:val="pt-BR"/>
              </w:rPr>
              <w:t>Micrurus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. </w:t>
            </w:r>
          </w:p>
        </w:tc>
        <w:tc>
          <w:tcPr>
            <w:tcW w:w="2336" w:type="pct"/>
          </w:tcPr>
          <w:p w14:paraId="4C9D2BC8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</w:t>
            </w:r>
            <w:r w:rsidRPr="00F8122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teste terapêutico com </w:t>
            </w:r>
            <w:r w:rsidRPr="00EB2F51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drogas anticolinesterásicas</w:t>
            </w:r>
            <w:r w:rsidRPr="00F8122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deve </w:t>
            </w:r>
            <w:r w:rsidRPr="00F8122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ser considerado nos pacientes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picados por serpentes </w:t>
            </w:r>
            <w:r w:rsidRPr="0054519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corais-verdadeiras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do gênero </w:t>
            </w:r>
            <w:r w:rsidRPr="0054519F">
              <w:rPr>
                <w:rFonts w:ascii="Calibri" w:hAnsi="Calibri"/>
                <w:b/>
                <w:bCs/>
                <w:i/>
                <w:color w:val="C00000"/>
                <w:sz w:val="22"/>
                <w:szCs w:val="22"/>
                <w:lang w:val="pt-BR"/>
              </w:rPr>
              <w:t>Micrurus</w:t>
            </w:r>
            <w:r w:rsidRPr="0054519F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que evoluem com </w:t>
            </w:r>
            <w:r w:rsidRPr="004033B2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miastenia intensa</w:t>
            </w:r>
            <w:r w:rsidRPr="00F81229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em geral </w:t>
            </w:r>
            <w:r w:rsidRPr="00F81229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expostos a toxinas que causam bloqueio competitivo pós-sináptico não despolarizante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dos receptores nicotínicos da acetilcolina na </w:t>
            </w:r>
            <w:r w:rsidRPr="00F81229">
              <w:rPr>
                <w:rFonts w:ascii="Calibri" w:hAnsi="Calibri"/>
                <w:b/>
                <w:sz w:val="22"/>
                <w:szCs w:val="22"/>
                <w:lang w:val="pt-BR"/>
              </w:rPr>
              <w:t>junção neuromuscular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44A57B89" w14:textId="77777777" w:rsidR="0041056A" w:rsidRDefault="0041056A" w:rsidP="00961DB5">
            <w:pPr>
              <w:numPr>
                <w:ilvl w:val="0"/>
                <w:numId w:val="64"/>
              </w:num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 w:rsidRPr="00EB2F51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Os sinais/sintomas de miastenia intensa (grave) incluem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 w:rsidRPr="00EB2F51">
              <w:rPr>
                <w:rFonts w:ascii="Calibri" w:hAnsi="Calibri"/>
                <w:bCs/>
                <w:sz w:val="22"/>
                <w:szCs w:val="22"/>
                <w:lang w:val="pt-BR"/>
              </w:rPr>
              <w:t>dificuldade para caminhar, se manter na posição ereta ou se levantar da cama; disfagia e salivação; respiração superficial, dispneia até paralisia respiratória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.</w:t>
            </w:r>
          </w:p>
          <w:p w14:paraId="1B81157B" w14:textId="77777777" w:rsidR="0041056A" w:rsidRDefault="0041056A" w:rsidP="00961DB5">
            <w:pPr>
              <w:numPr>
                <w:ilvl w:val="0"/>
                <w:numId w:val="64"/>
              </w:num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 w:rsidRPr="00EB2F51">
              <w:rPr>
                <w:rFonts w:ascii="Calibri" w:hAnsi="Calibri"/>
                <w:b/>
                <w:sz w:val="22"/>
                <w:szCs w:val="22"/>
                <w:lang w:val="pt-BR"/>
              </w:rPr>
              <w:t>A grande vantagem d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o teste terapêutico, </w:t>
            </w:r>
            <w:r w:rsidRPr="00EB2F51">
              <w:rPr>
                <w:rFonts w:ascii="Calibri" w:hAnsi="Calibri"/>
                <w:b/>
                <w:sz w:val="22"/>
                <w:szCs w:val="22"/>
                <w:lang w:val="pt-BR"/>
              </w:rPr>
              <w:t>quando a resposta é favorável, é a de promover uma rápida melhora do quadro paralítico quando comparado à soroterapia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.</w:t>
            </w:r>
          </w:p>
          <w:p w14:paraId="4221D9F0" w14:textId="2E54D8B4" w:rsidR="0041056A" w:rsidRPr="005A794D" w:rsidRDefault="0041056A" w:rsidP="00961DB5">
            <w:pPr>
              <w:numPr>
                <w:ilvl w:val="0"/>
                <w:numId w:val="64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O teste terapêutico pode ser realizado tanto com </w:t>
            </w:r>
            <w:r w:rsidRPr="005A794D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o cloridrato de edrofônio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IV (efeito de curta duração, ~10 minutos) como </w:t>
            </w:r>
            <w:r w:rsidRPr="005A794D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com a </w:t>
            </w:r>
            <w:r w:rsidRPr="003A696B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neostigmin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a IV</w:t>
            </w:r>
            <w:r w:rsidRPr="003A696B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(início de ação 1-20 minutos, meia-vida de 0,5-2h), sendo a última de disponibilidade mais acessível no Brasil</w:t>
            </w:r>
            <w:r w:rsidRPr="005A794D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27B2A641" w14:textId="77777777" w:rsidR="0041056A" w:rsidRPr="005A794D" w:rsidRDefault="0041056A" w:rsidP="00961DB5">
            <w:pPr>
              <w:numPr>
                <w:ilvl w:val="0"/>
                <w:numId w:val="64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5A794D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Doses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iniciais </w:t>
            </w:r>
            <w:r w:rsidRPr="005A794D">
              <w:rPr>
                <w:rFonts w:ascii="Calibri" w:hAnsi="Calibri"/>
                <w:b/>
                <w:sz w:val="22"/>
                <w:szCs w:val="22"/>
                <w:lang w:val="pt-BR"/>
              </w:rPr>
              <w:t>recomendadas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de </w:t>
            </w:r>
            <w:r w:rsidRPr="003A696B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neostigmina:</w:t>
            </w:r>
          </w:p>
          <w:p w14:paraId="0BA0CBD5" w14:textId="77777777" w:rsidR="0041056A" w:rsidRDefault="0041056A" w:rsidP="00961DB5">
            <w:pPr>
              <w:numPr>
                <w:ilvl w:val="1"/>
                <w:numId w:val="64"/>
              </w:num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 w:rsidRPr="005A794D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: </w:t>
            </w:r>
            <w:r w:rsidRPr="005A794D">
              <w:rPr>
                <w:rFonts w:ascii="Calibri" w:hAnsi="Calibri"/>
                <w:bCs/>
                <w:sz w:val="22"/>
                <w:szCs w:val="22"/>
                <w:lang w:val="pt-BR"/>
              </w:rPr>
              <w:t>1 mg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(2 ml) IV.</w:t>
            </w:r>
          </w:p>
          <w:p w14:paraId="32B8510B" w14:textId="77777777" w:rsidR="0041056A" w:rsidRDefault="0041056A" w:rsidP="00961DB5">
            <w:pPr>
              <w:numPr>
                <w:ilvl w:val="1"/>
                <w:numId w:val="64"/>
              </w:num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 w:rsidRPr="005A794D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: </w:t>
            </w:r>
            <w:r w:rsidRPr="005A794D">
              <w:rPr>
                <w:rFonts w:ascii="Calibri" w:hAnsi="Calibri"/>
                <w:bCs/>
                <w:sz w:val="22"/>
                <w:szCs w:val="22"/>
                <w:lang w:val="pt-BR"/>
              </w:rPr>
              <w:t>0,0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2</w:t>
            </w:r>
            <w:r w:rsidRPr="005A794D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mg/kg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IV.</w:t>
            </w:r>
          </w:p>
          <w:p w14:paraId="6409E258" w14:textId="77777777" w:rsidR="0041056A" w:rsidRDefault="0041056A" w:rsidP="00961DB5">
            <w:pPr>
              <w:numPr>
                <w:ilvl w:val="1"/>
                <w:numId w:val="64"/>
              </w:num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 w:rsidRPr="005A794D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Em 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vários casos, </w:t>
            </w:r>
            <w:r w:rsidRPr="005A794D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apenas uma dose é suficiente para a reversão completa dos sintomas. </w:t>
            </w:r>
          </w:p>
          <w:p w14:paraId="6A3D3184" w14:textId="6463584C" w:rsidR="0041056A" w:rsidRDefault="0041056A" w:rsidP="00961DB5">
            <w:pPr>
              <w:numPr>
                <w:ilvl w:val="1"/>
                <w:numId w:val="64"/>
              </w:num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 w:rsidRPr="005A794D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Caso haja recorrência dos sintomas paralíticos, pode-se repetir a mesma dose, a cada 2-4h ou em intervalos menores, ou por infusão contínua, na dose inicial de 12 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mc</w:t>
            </w:r>
            <w:r w:rsidRPr="005A794D">
              <w:rPr>
                <w:rFonts w:ascii="Calibri" w:hAnsi="Calibri"/>
                <w:bCs/>
                <w:sz w:val="22"/>
                <w:szCs w:val="22"/>
                <w:lang w:val="pt-BR"/>
              </w:rPr>
              <w:t>g/kg/h, adequando-se as doses de acordo com a resposta clínica de cada paciente.</w:t>
            </w:r>
          </w:p>
          <w:p w14:paraId="48A19634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</w:pPr>
            <w:r w:rsidRPr="005A794D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A ATROPINA deve ser SEMPRE empregada ANTES da administração da neostigmina, tendo como objetivo antagonizar os efeitos muscarínicos da acetilcolina, principalmente a broncorr</w:t>
            </w:r>
            <w:r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e</w:t>
            </w:r>
            <w:r w:rsidRPr="005A794D"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ia e a bradicardia</w:t>
            </w:r>
            <w:r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  <w:t>.</w:t>
            </w:r>
          </w:p>
          <w:p w14:paraId="7A0C2F64" w14:textId="77777777" w:rsidR="0041056A" w:rsidRPr="005A794D" w:rsidRDefault="0041056A" w:rsidP="00961DB5">
            <w:pPr>
              <w:numPr>
                <w:ilvl w:val="0"/>
                <w:numId w:val="64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5A794D">
              <w:rPr>
                <w:rFonts w:ascii="Calibri" w:hAnsi="Calibri"/>
                <w:b/>
                <w:sz w:val="22"/>
                <w:szCs w:val="22"/>
                <w:lang w:val="pt-BR"/>
              </w:rPr>
              <w:t>Doses recomendadas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de </w:t>
            </w:r>
            <w:r w:rsidRPr="003A696B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atropina</w:t>
            </w:r>
            <w:r w:rsidRPr="005A794D">
              <w:rPr>
                <w:rFonts w:ascii="Calibri" w:hAnsi="Calibri"/>
                <w:b/>
                <w:sz w:val="22"/>
                <w:szCs w:val="22"/>
                <w:lang w:val="pt-BR"/>
              </w:rPr>
              <w:t>:</w:t>
            </w:r>
          </w:p>
          <w:p w14:paraId="4082FBC0" w14:textId="77777777" w:rsidR="0041056A" w:rsidRPr="000C157B" w:rsidRDefault="0041056A" w:rsidP="00961DB5">
            <w:pPr>
              <w:numPr>
                <w:ilvl w:val="1"/>
                <w:numId w:val="64"/>
              </w:numPr>
              <w:spacing w:line="276" w:lineRule="auto"/>
              <w:jc w:val="left"/>
              <w:rPr>
                <w:rFonts w:ascii="Calibri" w:hAnsi="Calibri"/>
                <w:b/>
                <w:i/>
                <w:iCs/>
                <w:color w:val="C00000"/>
                <w:sz w:val="22"/>
                <w:szCs w:val="22"/>
                <w:lang w:val="pt-BR"/>
              </w:rPr>
            </w:pPr>
            <w:r w:rsidRPr="005A794D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: </w:t>
            </w:r>
            <w:r w:rsidRPr="000C157B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pode ser 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administrada em </w:t>
            </w:r>
            <w:r w:rsidRPr="004511C3">
              <w:rPr>
                <w:rFonts w:ascii="Calibri" w:hAnsi="Calibri"/>
                <w:bCs/>
                <w:i/>
                <w:iCs/>
                <w:sz w:val="22"/>
                <w:szCs w:val="22"/>
                <w:lang w:val="pt-BR"/>
              </w:rPr>
              <w:t>bolus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 de ~2 minutos </w:t>
            </w:r>
            <w:r w:rsidRPr="000C157B">
              <w:rPr>
                <w:rFonts w:ascii="Calibri" w:hAnsi="Calibri"/>
                <w:bCs/>
                <w:sz w:val="22"/>
                <w:szCs w:val="22"/>
                <w:lang w:val="pt-BR"/>
              </w:rPr>
              <w:t xml:space="preserve">na </w:t>
            </w:r>
            <w:r w:rsidRPr="000C157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razão de 0,5 mg de atropina IV para cada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1</w:t>
            </w:r>
            <w:r w:rsidRPr="000C157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mg de neostigmina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.</w:t>
            </w:r>
          </w:p>
          <w:p w14:paraId="7C00C84B" w14:textId="77777777" w:rsidR="0041056A" w:rsidRPr="00F81229" w:rsidRDefault="0041056A" w:rsidP="00961DB5">
            <w:pPr>
              <w:numPr>
                <w:ilvl w:val="1"/>
                <w:numId w:val="64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C157B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0C157B">
              <w:rPr>
                <w:rFonts w:ascii="Calibri" w:hAnsi="Calibri"/>
                <w:bCs/>
                <w:sz w:val="22"/>
                <w:szCs w:val="22"/>
                <w:lang w:val="pt-BR"/>
              </w:rPr>
              <w:t>: 0,01 mg/kg IV.</w:t>
            </w:r>
          </w:p>
        </w:tc>
        <w:tc>
          <w:tcPr>
            <w:tcW w:w="859" w:type="pct"/>
          </w:tcPr>
          <w:p w14:paraId="4510D364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Cs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ampolas de 1 ml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contendo 0,5 mg  de </w:t>
            </w:r>
            <w:r w:rsidRPr="005A794D">
              <w:rPr>
                <w:rFonts w:ascii="Calibri" w:hAnsi="Calibri"/>
                <w:bCs/>
                <w:sz w:val="22"/>
                <w:szCs w:val="22"/>
                <w:lang w:val="pt-BR"/>
              </w:rPr>
              <w:t>neostigmina</w:t>
            </w:r>
            <w:r>
              <w:rPr>
                <w:rFonts w:ascii="Calibri" w:hAnsi="Calibri"/>
                <w:bCs/>
                <w:sz w:val="22"/>
                <w:szCs w:val="22"/>
                <w:lang w:val="pt-BR"/>
              </w:rPr>
              <w:t>.</w:t>
            </w:r>
          </w:p>
          <w:p w14:paraId="318A7DC5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</w:pPr>
          </w:p>
          <w:p w14:paraId="2907AB43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C11CD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6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ampolas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(3 mg)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2641E1C3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2C0932AF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</w:pPr>
          </w:p>
          <w:p w14:paraId="77EA1E51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</w:pPr>
          </w:p>
          <w:p w14:paraId="6B99F2D9" w14:textId="77777777" w:rsidR="0041056A" w:rsidRPr="00F03B8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</w:tc>
      </w:tr>
      <w:tr w:rsidR="0041056A" w:rsidRPr="00512BD6" w14:paraId="602B4525" w14:textId="77777777" w:rsidTr="00961DB5">
        <w:tc>
          <w:tcPr>
            <w:tcW w:w="766" w:type="pct"/>
            <w:shd w:val="clear" w:color="auto" w:fill="auto"/>
          </w:tcPr>
          <w:p w14:paraId="6B661A77" w14:textId="49DD4F66" w:rsidR="0041056A" w:rsidRPr="0069719E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113" w:name="_Toc125971546"/>
            <w:bookmarkStart w:id="114" w:name="_Toc126746443"/>
            <w:bookmarkStart w:id="115" w:name="_Toc126746592"/>
            <w:bookmarkStart w:id="116" w:name="_Toc126750604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NITRITO DE SÓDIO</w:t>
            </w:r>
            <w:bookmarkEnd w:id="113"/>
            <w:bookmarkEnd w:id="114"/>
            <w:bookmarkEnd w:id="115"/>
            <w:bookmarkEnd w:id="116"/>
            <w:r w:rsidRPr="0069719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E</w:t>
            </w:r>
          </w:p>
          <w:p w14:paraId="47123FDD" w14:textId="77777777" w:rsidR="0041056A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69719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TIOSSULFATO DE SÓDIO</w:t>
            </w:r>
            <w:r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,</w:t>
            </w:r>
            <w:r w:rsidRPr="0069719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41056A" w:rsidRPr="0069719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inj</w:t>
            </w:r>
            <w:r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.</w:t>
            </w:r>
          </w:p>
        </w:tc>
        <w:tc>
          <w:tcPr>
            <w:tcW w:w="1039" w:type="pct"/>
            <w:shd w:val="clear" w:color="auto" w:fill="auto"/>
          </w:tcPr>
          <w:p w14:paraId="2228EC36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7D08A1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Cianeto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(CN)</w:t>
            </w:r>
          </w:p>
          <w:p w14:paraId="16FA8ED0" w14:textId="77777777" w:rsidR="0041056A" w:rsidRDefault="0041056A" w:rsidP="00961DB5">
            <w:pPr>
              <w:pStyle w:val="PargrafodaLista"/>
              <w:numPr>
                <w:ilvl w:val="0"/>
                <w:numId w:val="58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087544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Compostos inorgânicos: sais de CN (ex., KCN e NaCN).</w:t>
            </w:r>
          </w:p>
          <w:p w14:paraId="25458812" w14:textId="77777777" w:rsidR="0041056A" w:rsidRDefault="0041056A" w:rsidP="00961DB5">
            <w:pPr>
              <w:pStyle w:val="PargrafodaLista"/>
              <w:numPr>
                <w:ilvl w:val="0"/>
                <w:numId w:val="58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087544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Compostos orgânicos: nitrilas (ex., acetonitrila, CH</w:t>
            </w:r>
            <w:r w:rsidRPr="00087544">
              <w:rPr>
                <w:rFonts w:ascii="Calibri" w:hAnsi="Calibri"/>
                <w:b/>
                <w:i/>
                <w:color w:val="C00000"/>
                <w:sz w:val="22"/>
                <w:szCs w:val="22"/>
                <w:vertAlign w:val="subscript"/>
                <w:lang w:val="pt-BR"/>
              </w:rPr>
              <w:t>3</w:t>
            </w:r>
            <w:r w:rsidRPr="00087544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CN).</w:t>
            </w:r>
          </w:p>
          <w:p w14:paraId="7781F174" w14:textId="77777777" w:rsidR="0041056A" w:rsidRDefault="0041056A" w:rsidP="00961DB5">
            <w:pPr>
              <w:pStyle w:val="PargrafodaLista"/>
              <w:numPr>
                <w:ilvl w:val="0"/>
                <w:numId w:val="58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Nitroprussiato de sódio,</w:t>
            </w:r>
          </w:p>
          <w:p w14:paraId="4F18E3F4" w14:textId="77777777" w:rsidR="0041056A" w:rsidRPr="00087544" w:rsidRDefault="0041056A" w:rsidP="00961DB5">
            <w:pPr>
              <w:pStyle w:val="PargrafodaLista"/>
              <w:numPr>
                <w:ilvl w:val="0"/>
                <w:numId w:val="58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087544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Plantas/sementes de frutas contendo glicosídeos cianogênicos:</w:t>
            </w:r>
          </w:p>
          <w:p w14:paraId="08EDE860" w14:textId="77777777" w:rsidR="0041056A" w:rsidRDefault="0041056A" w:rsidP="00961DB5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Manihot spp (mandioca, glicosídeo= linamarina);</w:t>
            </w:r>
          </w:p>
          <w:p w14:paraId="29F87176" w14:textId="77777777" w:rsidR="0041056A" w:rsidRDefault="0041056A" w:rsidP="00961DB5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Sementes de </w:t>
            </w:r>
            <w:r w:rsidRPr="00A6261F">
              <w:rPr>
                <w:rFonts w:ascii="Calibri" w:hAnsi="Calibri"/>
                <w:b/>
                <w:i/>
                <w:color w:val="C00000"/>
                <w:sz w:val="22"/>
                <w:szCs w:val="22"/>
                <w:u w:val="single"/>
                <w:lang w:val="pt-BR"/>
              </w:rPr>
              <w:t>Prunus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spp (ameixa, cereja, damasco e pêssegos; glicosídeo= amigdalina).  </w:t>
            </w:r>
          </w:p>
          <w:p w14:paraId="3B257364" w14:textId="77777777" w:rsidR="0041056A" w:rsidRDefault="0041056A" w:rsidP="00961DB5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Sementes de Malus spp (maçã).</w:t>
            </w:r>
          </w:p>
          <w:p w14:paraId="26C88DA9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76EF470F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Sais de CN dissolvidos em água formam rapidamente o gás cianeto (HCN).</w:t>
            </w:r>
          </w:p>
          <w:p w14:paraId="54861344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369E0B9E" w14:textId="77777777" w:rsidR="0041056A" w:rsidRPr="007D08A1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Glicosídeos cianogênicos, se ingeridos, podem ser biotransformados no intestino em CN. </w:t>
            </w:r>
          </w:p>
          <w:p w14:paraId="68308629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</w:tcPr>
          <w:p w14:paraId="2897C3F7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D08A1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Nitrito de sódio</w:t>
            </w:r>
            <w:r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 xml:space="preserve"> a 3%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614591E0" w14:textId="77777777" w:rsidR="0041056A" w:rsidRDefault="0041056A" w:rsidP="00961DB5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D08A1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0,2 ml/kg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(6 mg/kg ou 6-8 ml/m</w:t>
            </w:r>
            <w:r w:rsidRPr="00C63147">
              <w:rPr>
                <w:rFonts w:ascii="Calibri" w:hAnsi="Calibri"/>
                <w:sz w:val="22"/>
                <w:szCs w:val="22"/>
                <w:vertAlign w:val="superscript"/>
                <w:lang w:val="pt-BR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área de superfície corpórea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), no máximo de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10 ml (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300mg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), infundido IV lentamente em 2-4 minutos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44FA3297" w14:textId="77777777" w:rsidR="0041056A" w:rsidRDefault="0041056A" w:rsidP="00961DB5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D08A1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10 ml IV, infusão IV em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2-4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min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utos (2,5 a 5 ml/minuto).</w:t>
            </w:r>
          </w:p>
          <w:p w14:paraId="4D739A21" w14:textId="77777777" w:rsidR="0041056A" w:rsidRDefault="0041056A" w:rsidP="00961DB5">
            <w:pPr>
              <w:numPr>
                <w:ilvl w:val="0"/>
                <w:numId w:val="36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Uma vez que o CN tem maior afinidade pelo Fe</w:t>
            </w:r>
            <w:r w:rsidRPr="009B1BFB">
              <w:rPr>
                <w:rFonts w:ascii="Calibri" w:hAnsi="Calibri"/>
                <w:b/>
                <w:i/>
                <w:color w:val="C00000"/>
                <w:sz w:val="22"/>
                <w:szCs w:val="22"/>
                <w:vertAlign w:val="superscript"/>
                <w:lang w:val="pt-BR"/>
              </w:rPr>
              <w:t>+++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da hemoglobina oxidada (metemoglobina) que o Fe</w:t>
            </w:r>
            <w:r w:rsidRPr="009B1BFB">
              <w:rPr>
                <w:rFonts w:ascii="Calibri" w:hAnsi="Calibri"/>
                <w:b/>
                <w:i/>
                <w:color w:val="C00000"/>
                <w:sz w:val="22"/>
                <w:szCs w:val="22"/>
                <w:vertAlign w:val="superscript"/>
                <w:lang w:val="pt-BR"/>
              </w:rPr>
              <w:t>+++</w:t>
            </w:r>
            <w:r w:rsidRPr="00D278C1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da citocromo-oxidase, o objetivo da administração de nitrito é i</w:t>
            </w:r>
            <w:r w:rsidRPr="00D278C1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nduz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ir</w:t>
            </w:r>
            <w:r w:rsidRPr="00D278C1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uma </w:t>
            </w:r>
            <w:r w:rsidRPr="00D278C1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metemoglobinemia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“terapêutica”, formar cianometemoglobina e melhorar o metabolismo aeróbico.</w:t>
            </w:r>
          </w:p>
          <w:p w14:paraId="66ECC492" w14:textId="77777777" w:rsidR="0041056A" w:rsidRPr="00087544" w:rsidRDefault="0041056A" w:rsidP="00961DB5">
            <w:pPr>
              <w:numPr>
                <w:ilvl w:val="0"/>
                <w:numId w:val="36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87544">
              <w:rPr>
                <w:rFonts w:ascii="Calibri" w:hAnsi="Calibri"/>
                <w:b/>
                <w:sz w:val="22"/>
                <w:szCs w:val="22"/>
                <w:lang w:val="pt-BR"/>
              </w:rPr>
              <w:t>A [metemoglobinemia] deve ser monitorada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; concentrações de metemoglobina </w:t>
            </w:r>
            <w:r w:rsidRPr="00087544">
              <w:rPr>
                <w:rFonts w:ascii="Calibri" w:hAnsi="Calibri"/>
                <w:b/>
                <w:sz w:val="22"/>
                <w:szCs w:val="22"/>
                <w:lang w:val="pt-BR"/>
              </w:rPr>
              <w:t>&gt; 40% pode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m</w:t>
            </w:r>
            <w:r w:rsidRPr="00087544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comprometer a oxigenação tecidual.</w:t>
            </w:r>
          </w:p>
          <w:p w14:paraId="243DF40D" w14:textId="77777777" w:rsidR="0041056A" w:rsidRPr="00087544" w:rsidRDefault="0041056A" w:rsidP="00961DB5">
            <w:pPr>
              <w:numPr>
                <w:ilvl w:val="0"/>
                <w:numId w:val="36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87544">
              <w:rPr>
                <w:rFonts w:ascii="Calibri" w:hAnsi="Calibri"/>
                <w:b/>
                <w:sz w:val="22"/>
                <w:szCs w:val="22"/>
                <w:lang w:val="pt-BR"/>
              </w:rPr>
              <w:t>Deve ser infundido lentamente pois pode induzir hipotensão arterial.</w:t>
            </w:r>
          </w:p>
          <w:p w14:paraId="77C8567C" w14:textId="77777777" w:rsidR="0041056A" w:rsidRPr="00087544" w:rsidRDefault="0041056A" w:rsidP="00961DB5">
            <w:pPr>
              <w:numPr>
                <w:ilvl w:val="0"/>
                <w:numId w:val="36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87544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Metade da dose inicial pode ser repetida se as manifestações de toxicidade do SNC persistirem ou reaparecerem.      </w:t>
            </w:r>
          </w:p>
          <w:p w14:paraId="5BAAC2FD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  <w:p w14:paraId="41074C23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D08A1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Tiossulfato de sódio</w:t>
            </w:r>
            <w:r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 xml:space="preserve"> a 25%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5000A797" w14:textId="77777777" w:rsidR="0041056A" w:rsidRDefault="0041056A" w:rsidP="00961DB5">
            <w:pPr>
              <w:numPr>
                <w:ilvl w:val="0"/>
                <w:numId w:val="3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D08A1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1 ml/kg (250 mg/kg ou 30-40 ml/m</w:t>
            </w:r>
            <w:r w:rsidRPr="00C63147">
              <w:rPr>
                <w:rFonts w:ascii="Calibri" w:hAnsi="Calibri"/>
                <w:sz w:val="22"/>
                <w:szCs w:val="22"/>
                <w:vertAlign w:val="superscript"/>
                <w:lang w:val="pt-BR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área de superfície corpórea)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IV em </w:t>
            </w:r>
            <w:r w:rsidRPr="00A653D2">
              <w:rPr>
                <w:rFonts w:ascii="Calibri" w:hAnsi="Calibri"/>
                <w:i/>
                <w:sz w:val="22"/>
                <w:szCs w:val="22"/>
                <w:lang w:val="pt-BR"/>
              </w:rPr>
              <w:t>bolus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em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10 min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utos, não excedendo o limite de 50 ml (12,5 g)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</w:p>
          <w:p w14:paraId="442A33A2" w14:textId="77777777" w:rsidR="0041056A" w:rsidRDefault="0041056A" w:rsidP="00961DB5">
            <w:pPr>
              <w:numPr>
                <w:ilvl w:val="0"/>
                <w:numId w:val="3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D08A1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50 ml (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12,5g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IV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em </w:t>
            </w:r>
            <w:r w:rsidRPr="00A653D2">
              <w:rPr>
                <w:rFonts w:ascii="Calibri" w:hAnsi="Calibri"/>
                <w:i/>
                <w:sz w:val="22"/>
                <w:szCs w:val="22"/>
                <w:lang w:val="pt-BR"/>
              </w:rPr>
              <w:t>bolus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em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10 min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utos.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220B9749" w14:textId="77777777" w:rsidR="0041056A" w:rsidRPr="00087544" w:rsidRDefault="0041056A" w:rsidP="00961DB5">
            <w:pPr>
              <w:numPr>
                <w:ilvl w:val="0"/>
                <w:numId w:val="37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87544">
              <w:rPr>
                <w:rFonts w:ascii="Calibri" w:hAnsi="Calibri"/>
                <w:b/>
                <w:sz w:val="22"/>
                <w:szCs w:val="22"/>
                <w:lang w:val="pt-BR"/>
              </w:rPr>
              <w:t>Deve ser administrado imediatamente após o nitrito de sódio.</w:t>
            </w:r>
          </w:p>
          <w:p w14:paraId="31B77F4C" w14:textId="77777777" w:rsidR="0041056A" w:rsidRPr="00087544" w:rsidRDefault="0041056A" w:rsidP="00961DB5">
            <w:pPr>
              <w:numPr>
                <w:ilvl w:val="0"/>
                <w:numId w:val="37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87544">
              <w:rPr>
                <w:rFonts w:ascii="Calibri" w:hAnsi="Calibri"/>
                <w:b/>
                <w:sz w:val="22"/>
                <w:szCs w:val="22"/>
                <w:lang w:val="pt-BR"/>
              </w:rPr>
              <w:t>Doses adicionais podem ser utilizadas em intoxicações graves.</w:t>
            </w:r>
          </w:p>
          <w:p w14:paraId="679B4DCA" w14:textId="77777777" w:rsidR="0041056A" w:rsidRPr="00C8303B" w:rsidRDefault="0041056A" w:rsidP="00961DB5">
            <w:pPr>
              <w:numPr>
                <w:ilvl w:val="0"/>
                <w:numId w:val="37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C8303B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O tiossulfato atua como um doador de enxofre para conversão de cianeto em tiocianato, em reação catalisada pela enzima rodanese, sendo excretado na urina.</w:t>
            </w:r>
          </w:p>
          <w:p w14:paraId="4C042DA7" w14:textId="77777777" w:rsidR="0041056A" w:rsidRPr="00C8303B" w:rsidRDefault="0041056A" w:rsidP="00961DB5">
            <w:pPr>
              <w:numPr>
                <w:ilvl w:val="0"/>
                <w:numId w:val="37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C8303B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Uma vez que essa reação é relativamente lenta, o tiossulfato de sódio não pode ser usado isoladamente nas intoxicações graves por cianeto.</w:t>
            </w:r>
          </w:p>
          <w:p w14:paraId="57582F64" w14:textId="77777777" w:rsidR="0041056A" w:rsidRDefault="0041056A" w:rsidP="00961DB5">
            <w:pPr>
              <w:numPr>
                <w:ilvl w:val="0"/>
                <w:numId w:val="3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C8303B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É um antídoto efetivo para tratamento das intoxicações de gravidade moderada por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sais de CN, </w:t>
            </w:r>
            <w:r w:rsidRPr="00C8303B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ou por nitrilas, onde a metabolização do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CN</w:t>
            </w:r>
            <w:r w:rsidRPr="00C8303B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é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pro</w:t>
            </w:r>
            <w:r w:rsidRPr="00C8303B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longa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da</w:t>
            </w:r>
            <w:r w:rsidRPr="00C8303B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6D1EF35B" w14:textId="77777777" w:rsidR="0041056A" w:rsidRPr="00570869" w:rsidRDefault="0041056A" w:rsidP="00961DB5">
            <w:pPr>
              <w:numPr>
                <w:ilvl w:val="0"/>
                <w:numId w:val="37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5708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Durante o uso terapêutico de </w:t>
            </w:r>
            <w:r w:rsidRPr="004B0D4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nitroprussiato de sódio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, í</w:t>
            </w:r>
            <w:r w:rsidRPr="005708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ons CN</w:t>
            </w:r>
            <w:r w:rsidRPr="00570869"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pt-BR"/>
              </w:rPr>
              <w:t>-</w:t>
            </w:r>
            <w:r w:rsidRPr="005708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são deslocados da molécula podendo ocorrer intoxicação por cianeto. Em uso prolongado da droga em doses elevadas (taxa de infusão acima de 0,5 mg/kg/h) o risco de intoxicação é significativo, podendo ser prevenido e, </w:t>
            </w:r>
            <w:r w:rsidRPr="00570869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no caso de efeitos tóxicos moderados, ser tratado com tiossulfato de sódio isoladamente</w:t>
            </w:r>
            <w:r w:rsidRPr="00570869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(sem a hidroxocobalamiona).</w:t>
            </w:r>
          </w:p>
        </w:tc>
        <w:tc>
          <w:tcPr>
            <w:tcW w:w="859" w:type="pct"/>
          </w:tcPr>
          <w:p w14:paraId="576AD6B4" w14:textId="77777777" w:rsidR="0041056A" w:rsidRPr="007D08A1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  <w:r w:rsidRPr="007D08A1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Nitrito de sódio</w:t>
            </w:r>
          </w:p>
          <w:p w14:paraId="38BB9FEB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F03B8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ampolas de 10 ml a 3% </w:t>
            </w:r>
            <w:r w:rsidRPr="006F6F17">
              <w:rPr>
                <w:rFonts w:ascii="Calibri" w:hAnsi="Calibri"/>
                <w:bCs/>
                <w:sz w:val="22"/>
                <w:szCs w:val="22"/>
                <w:lang w:val="pt-BR"/>
              </w:rPr>
              <w:t>(3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0 mg/ml).</w:t>
            </w:r>
          </w:p>
          <w:p w14:paraId="10F2BCC3" w14:textId="77777777" w:rsidR="0041056A" w:rsidRPr="00932191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A3164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932191">
              <w:rPr>
                <w:rFonts w:ascii="Calibri" w:hAnsi="Calibri"/>
                <w:b/>
                <w:sz w:val="22"/>
                <w:szCs w:val="22"/>
                <w:lang w:val="pt-BR"/>
              </w:rPr>
              <w:t>: 2 ampolas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(600 mg)</w:t>
            </w:r>
            <w:r w:rsidRPr="00932191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4B4035C5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795B917E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D08A1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Tiossulfato de sódio</w:t>
            </w:r>
          </w:p>
          <w:p w14:paraId="48E98130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ampolas com 10 ml a 25% (250 mg/ml)</w:t>
            </w:r>
          </w:p>
          <w:p w14:paraId="410DF65D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C11CD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>: 10 ampolas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(25 g)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4FB12527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2B7A231C" w14:textId="77777777" w:rsidR="0041056A" w:rsidRPr="000728AB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07A1AB0A" w14:textId="77777777" w:rsidR="0041056A" w:rsidRPr="000728AB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41056A" w:rsidRPr="00512BD6" w14:paraId="136E0952" w14:textId="77777777" w:rsidTr="00961DB5">
        <w:tc>
          <w:tcPr>
            <w:tcW w:w="766" w:type="pct"/>
            <w:shd w:val="clear" w:color="auto" w:fill="auto"/>
          </w:tcPr>
          <w:p w14:paraId="77088437" w14:textId="14D64467" w:rsidR="0041056A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117" w:name="_Toc125971547"/>
            <w:bookmarkStart w:id="118" w:name="_Toc126746444"/>
            <w:bookmarkStart w:id="119" w:name="_Toc126746593"/>
            <w:bookmarkStart w:id="120" w:name="_Toc126750605"/>
            <w:r w:rsidRPr="0069719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OCTREOTIDA,</w:t>
            </w:r>
            <w:bookmarkEnd w:id="117"/>
            <w:bookmarkEnd w:id="118"/>
            <w:bookmarkEnd w:id="119"/>
            <w:bookmarkEnd w:id="120"/>
            <w:r w:rsidR="0041056A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inj.</w:t>
            </w:r>
          </w:p>
        </w:tc>
        <w:tc>
          <w:tcPr>
            <w:tcW w:w="1039" w:type="pct"/>
            <w:shd w:val="clear" w:color="auto" w:fill="auto"/>
          </w:tcPr>
          <w:p w14:paraId="1CC521C7" w14:textId="77777777" w:rsidR="0041056A" w:rsidRPr="00501B6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501B6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Intoxicações por hipoglicemiantes orais (sulfoniluréias), como glibenclamida, glipizida e gliburida, refratárias ao tratamento inicial com glicose.</w:t>
            </w:r>
          </w:p>
          <w:p w14:paraId="51AD8311" w14:textId="77777777" w:rsidR="0041056A" w:rsidRPr="00501B6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088A10BA" w14:textId="77777777" w:rsidR="0041056A" w:rsidRPr="00501B6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501B66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Intoxicações por quinina induzindo hipoglicemia</w:t>
            </w:r>
          </w:p>
          <w:p w14:paraId="33B0521D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i/>
                <w:color w:val="C00000"/>
                <w:sz w:val="22"/>
                <w:szCs w:val="22"/>
                <w:lang w:val="pt-BR"/>
              </w:rPr>
            </w:pPr>
          </w:p>
          <w:p w14:paraId="0E4AF243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</w:tcPr>
          <w:p w14:paraId="6C3CB201" w14:textId="77777777" w:rsidR="0041056A" w:rsidRPr="00984673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98467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Octreotida, um análogo da somatostatina, bloqueia os canais de cálcio das células pancreáticas, reduzindo o influxo de cálcio para o interior das células e a consequente liberação de insulina. </w:t>
            </w:r>
          </w:p>
          <w:p w14:paraId="6F85BD02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78B0DE40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Dose recomendadas:</w:t>
            </w:r>
          </w:p>
          <w:p w14:paraId="344B2613" w14:textId="77777777" w:rsidR="0041056A" w:rsidRPr="00984673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984673">
              <w:rPr>
                <w:rFonts w:ascii="Calibri" w:hAnsi="Calibri"/>
                <w:b/>
                <w:sz w:val="22"/>
                <w:szCs w:val="22"/>
                <w:lang w:val="pt-BR"/>
              </w:rPr>
              <w:t>Crianças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4-5 mcg/kg/dose SC a cada 6 horas, até controle da hipoglicemia.</w:t>
            </w:r>
          </w:p>
          <w:p w14:paraId="4200853D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984673">
              <w:rPr>
                <w:rFonts w:ascii="Calibri" w:hAnsi="Calibri"/>
                <w:b/>
                <w:sz w:val="22"/>
                <w:szCs w:val="22"/>
                <w:lang w:val="pt-BR"/>
              </w:rPr>
              <w:t>Adultos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50 mcg SC a cada 6 horas, até controle da hipoglicemia.</w:t>
            </w:r>
          </w:p>
          <w:p w14:paraId="290442F0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2388B97F" w14:textId="286A4999" w:rsidR="0041056A" w:rsidRPr="000904F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0904FA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Nos pacientes com comprometimento da perfusão periférica, a octreotida pode ser administrada pela via IV, nas mesmas doses acima, porém em intervalos menores, de 4-4h.</w:t>
            </w:r>
          </w:p>
          <w:p w14:paraId="4F40FB7A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0904FA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A glicemia deve ser monitorada durante o tratamento, e a infusão de glicose progressivamente reduzida de acordo com a resposta.</w:t>
            </w:r>
            <w:r w:rsidRPr="000904FA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 </w:t>
            </w:r>
          </w:p>
          <w:p w14:paraId="0AFC55F5" w14:textId="10962C6E" w:rsidR="0041056A" w:rsidRPr="000904FA" w:rsidRDefault="0041056A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904FA">
              <w:rPr>
                <w:rFonts w:ascii="Calibri" w:hAnsi="Calibri"/>
                <w:b/>
                <w:sz w:val="22"/>
                <w:szCs w:val="22"/>
                <w:lang w:val="pt-BR"/>
              </w:rPr>
              <w:t>A hipoglicemia deve ser monitorada até 12-24h da suspensão da octreotida.</w:t>
            </w:r>
          </w:p>
        </w:tc>
        <w:tc>
          <w:tcPr>
            <w:tcW w:w="859" w:type="pct"/>
          </w:tcPr>
          <w:p w14:paraId="0D7A5B4B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ampolas de 1 ml (0,1mg/ml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= 100 mcg/ml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), caixas com 5 ampolas</w:t>
            </w:r>
          </w:p>
          <w:p w14:paraId="2A0D0412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5061E661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C11CD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>: 2 ampolas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(0,2 mg)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56CFE7C9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00AEE5BD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</w:pPr>
          </w:p>
          <w:p w14:paraId="50B03856" w14:textId="77777777" w:rsidR="0041056A" w:rsidRPr="000728AB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41056A" w:rsidRPr="00862C21" w14:paraId="5CFCB6E3" w14:textId="77777777" w:rsidTr="00961DB5">
        <w:tc>
          <w:tcPr>
            <w:tcW w:w="766" w:type="pct"/>
            <w:shd w:val="clear" w:color="auto" w:fill="auto"/>
          </w:tcPr>
          <w:p w14:paraId="7F685811" w14:textId="153084DB" w:rsidR="0041056A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bookmarkStart w:id="121" w:name="_Toc125971548"/>
            <w:bookmarkStart w:id="122" w:name="_Toc126746445"/>
            <w:bookmarkStart w:id="123" w:name="_Toc126746594"/>
            <w:bookmarkStart w:id="124" w:name="_Toc126750606"/>
            <w:r w:rsidRPr="0069719E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PIRIDOXINA</w:t>
            </w:r>
            <w:bookmarkEnd w:id="121"/>
            <w:bookmarkEnd w:id="122"/>
            <w:bookmarkEnd w:id="123"/>
            <w:bookmarkEnd w:id="124"/>
            <w:r w:rsidR="0041056A" w:rsidRPr="0069719E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,</w:t>
            </w:r>
            <w:r w:rsidR="0041056A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inj.</w:t>
            </w:r>
          </w:p>
        </w:tc>
        <w:tc>
          <w:tcPr>
            <w:tcW w:w="1039" w:type="pct"/>
            <w:shd w:val="clear" w:color="auto" w:fill="auto"/>
          </w:tcPr>
          <w:p w14:paraId="610776BD" w14:textId="77777777" w:rsidR="0041056A" w:rsidRPr="002113CC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Intoxicações por isoniazida</w:t>
            </w:r>
          </w:p>
        </w:tc>
        <w:tc>
          <w:tcPr>
            <w:tcW w:w="2336" w:type="pct"/>
          </w:tcPr>
          <w:p w14:paraId="76632685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Isoniazida (INH) é estruturalmente relacionada às vitaminas B</w:t>
            </w:r>
            <w:r w:rsidRPr="004532F2">
              <w:rPr>
                <w:rFonts w:ascii="Calibri" w:hAnsi="Calibri"/>
                <w:b/>
                <w:bCs/>
                <w:sz w:val="22"/>
                <w:szCs w:val="22"/>
                <w:vertAlign w:val="subscript"/>
                <w:lang w:val="pt-BR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(niacina) e B</w:t>
            </w:r>
            <w:r w:rsidRPr="004532F2">
              <w:rPr>
                <w:rFonts w:ascii="Calibri" w:hAnsi="Calibri"/>
                <w:b/>
                <w:bCs/>
                <w:sz w:val="22"/>
                <w:szCs w:val="22"/>
                <w:vertAlign w:val="subscript"/>
                <w:lang w:val="pt-BR"/>
              </w:rPr>
              <w:t>6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(piridoxina). </w:t>
            </w:r>
          </w:p>
          <w:p w14:paraId="54C9B1CE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4532F2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INH induz à uma deficiência funcional de piridoxin</w:t>
            </w:r>
            <w:r w:rsidRPr="00D16E41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a, que pode culminar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, </w:t>
            </w:r>
            <w:r w:rsidRPr="005063ED">
              <w:rPr>
                <w:rFonts w:ascii="Calibri" w:hAnsi="Calibri"/>
                <w:b/>
                <w:bCs/>
                <w:color w:val="C00000"/>
                <w:sz w:val="22"/>
                <w:szCs w:val="22"/>
                <w:u w:val="single"/>
                <w:lang w:val="pt-BR"/>
              </w:rPr>
              <w:t>nas overdoses agudas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, </w:t>
            </w:r>
            <w:r w:rsidRPr="00D16E41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em crises convulsivas refratárias aos tratamentos convencionais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pela diminuição do ácido gama-aminobutírico (GABA), um inibidor primário da neurotransmissão no SNC, e pelo excesso de glutamato, um estimulante primário da neurotransmissão no SNC, </w:t>
            </w:r>
          </w:p>
          <w:p w14:paraId="58B6FE7B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5063ED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As convulsões geralmente ocorrem após ingestão de doses de INH &gt; 20 mg/kg, e invariavelmente após doses de 35-40 mg/kg. Além das convulsões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,</w:t>
            </w:r>
            <w:r w:rsidRPr="005063ED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frequente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mente</w:t>
            </w:r>
            <w:r w:rsidRPr="005063ED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é observado acidose metabólica com ânion gap elevado por aumento de lactato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,</w:t>
            </w:r>
            <w:r w:rsidRPr="005063ED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 e coma.</w:t>
            </w:r>
          </w:p>
          <w:p w14:paraId="7F4D9BEE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</w:p>
          <w:p w14:paraId="5F640533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6365F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Doses indicadas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de piridoxina IV</w:t>
            </w:r>
            <w:r w:rsidRPr="006365F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:</w:t>
            </w:r>
          </w:p>
          <w:p w14:paraId="1B286C97" w14:textId="77777777" w:rsidR="0041056A" w:rsidRDefault="0041056A" w:rsidP="00961DB5">
            <w:pPr>
              <w:pStyle w:val="PargrafodaLista"/>
              <w:numPr>
                <w:ilvl w:val="0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D</w:t>
            </w:r>
            <w:r w:rsidRPr="004F5133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ose ingerida conhecida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administrar 1 g de piridoxina IV para cada grama de INH ingerida</w:t>
            </w:r>
            <w:r w:rsidRPr="006365F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</w:p>
          <w:p w14:paraId="78DAA861" w14:textId="77777777" w:rsidR="0041056A" w:rsidRDefault="0041056A" w:rsidP="00961DB5">
            <w:pPr>
              <w:pStyle w:val="PargrafodaLista"/>
              <w:numPr>
                <w:ilvl w:val="0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D</w:t>
            </w:r>
            <w:r w:rsidRPr="004F5133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ose ingerida 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des</w:t>
            </w:r>
            <w:r w:rsidRPr="004F5133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conhecida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777A9509" w14:textId="77777777" w:rsidR="0041056A" w:rsidRDefault="0041056A" w:rsidP="00961DB5">
            <w:pPr>
              <w:pStyle w:val="PargrafodaLista"/>
              <w:numPr>
                <w:ilvl w:val="1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Crianças: administrar </w:t>
            </w:r>
            <w:r w:rsidRPr="006365F0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70 mg/kg IV.</w:t>
            </w:r>
          </w:p>
          <w:p w14:paraId="34B46797" w14:textId="77777777" w:rsidR="0041056A" w:rsidRDefault="0041056A" w:rsidP="00961DB5">
            <w:pPr>
              <w:pStyle w:val="PargrafodaLista"/>
              <w:numPr>
                <w:ilvl w:val="1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Adultos:  administrar 5 g IV.</w:t>
            </w:r>
          </w:p>
          <w:p w14:paraId="07F6E64C" w14:textId="77777777" w:rsidR="0041056A" w:rsidRDefault="0041056A" w:rsidP="00961DB5">
            <w:pPr>
              <w:pStyle w:val="PargrafodaLista"/>
              <w:numPr>
                <w:ilvl w:val="0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90630C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A piridoxina IV deve ser administrada em infusão lenta de ~0,5 g/minuto, 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diluída em SG 5%, </w:t>
            </w:r>
            <w:r w:rsidRPr="0090630C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até controle das crises, na dose máxima de 5 g.</w:t>
            </w:r>
          </w:p>
          <w:p w14:paraId="25EDAE4E" w14:textId="77777777" w:rsidR="0041056A" w:rsidRDefault="0041056A" w:rsidP="00961DB5">
            <w:pPr>
              <w:pStyle w:val="PargrafodaLista"/>
              <w:numPr>
                <w:ilvl w:val="0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 xml:space="preserve">Se as crises convulsivas forem controladas antes da dose plena, administrar a dose restante em infusão lenta, em 1-2 h.  </w:t>
            </w:r>
          </w:p>
          <w:p w14:paraId="2A449EC2" w14:textId="77777777" w:rsidR="0041056A" w:rsidRPr="0090630C" w:rsidRDefault="0041056A" w:rsidP="00961DB5">
            <w:pPr>
              <w:pStyle w:val="PargrafodaLista"/>
              <w:numPr>
                <w:ilvl w:val="0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 w:rsidRPr="0090630C"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  <w:t>AS DOSES ACIMA SÃO EFETIVAS NA MAIORIA DOS CASOS.</w:t>
            </w:r>
          </w:p>
          <w:p w14:paraId="258B49B3" w14:textId="77777777" w:rsidR="0041056A" w:rsidRPr="0090630C" w:rsidRDefault="0041056A" w:rsidP="00961DB5">
            <w:pPr>
              <w:pStyle w:val="PargrafodaLista"/>
              <w:numPr>
                <w:ilvl w:val="0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Caso as crises persistam ou recorram, administrar 0,5-1 g IV/minuto até controle das crises OU dose máxima de 5 g.  </w:t>
            </w:r>
          </w:p>
          <w:p w14:paraId="6B972DF8" w14:textId="77777777" w:rsidR="0041056A" w:rsidRDefault="0041056A" w:rsidP="00961DB5">
            <w:pPr>
              <w:pStyle w:val="PargrafodaLista"/>
              <w:numPr>
                <w:ilvl w:val="0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Associar benzodiazepínicos IV à piridoxina IV como terapêutica sinérgica para controle das crises convulsivas.</w:t>
            </w:r>
          </w:p>
          <w:p w14:paraId="21CB6A0C" w14:textId="77777777" w:rsidR="0041056A" w:rsidRPr="00DD15FF" w:rsidRDefault="0041056A" w:rsidP="00961DB5">
            <w:pPr>
              <w:pStyle w:val="PargrafodaLista"/>
              <w:numPr>
                <w:ilvl w:val="0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90630C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Se piridoxina não estiver disponível para uso IV pode-se iniciar o tratamento com piridoxina VO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nas mesmas doses acima</w:t>
            </w:r>
            <w:r w:rsidRPr="0090630C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.</w:t>
            </w:r>
          </w:p>
          <w:p w14:paraId="13B01804" w14:textId="77777777" w:rsidR="0041056A" w:rsidRPr="00DD15FF" w:rsidRDefault="0041056A" w:rsidP="00961DB5">
            <w:pPr>
              <w:pStyle w:val="PargrafodaLista"/>
              <w:numPr>
                <w:ilvl w:val="0"/>
                <w:numId w:val="40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Doses massivas de piridoxina podem causar neuropatia periférica.</w:t>
            </w:r>
          </w:p>
        </w:tc>
        <w:tc>
          <w:tcPr>
            <w:tcW w:w="859" w:type="pct"/>
          </w:tcPr>
          <w:p w14:paraId="65961A22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ampolas de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2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ml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contendo 100 mg/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ml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de cloridrato de piridoxina.</w:t>
            </w:r>
          </w:p>
          <w:p w14:paraId="4A756B89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15AB30CD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A3164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A3164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25</w:t>
            </w:r>
            <w:r w:rsidRPr="00A3164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ampolas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de 2 ml (dose total de 5 g de piridoxina)</w:t>
            </w:r>
            <w:r w:rsidRPr="00A3164E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637BEDA1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65AD43DC" w14:textId="77777777" w:rsidR="0041056A" w:rsidRPr="00A3164E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43114F33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0A18302C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</w:tc>
      </w:tr>
      <w:tr w:rsidR="0041056A" w:rsidRPr="00512BD6" w14:paraId="5D8B8DC1" w14:textId="77777777" w:rsidTr="00961DB5">
        <w:tc>
          <w:tcPr>
            <w:tcW w:w="766" w:type="pct"/>
            <w:shd w:val="clear" w:color="auto" w:fill="auto"/>
          </w:tcPr>
          <w:p w14:paraId="6601176D" w14:textId="1545EBCB" w:rsidR="0041056A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highlight w:val="yellow"/>
                <w:lang w:val="pt-BR"/>
              </w:rPr>
            </w:pPr>
            <w:bookmarkStart w:id="125" w:name="_Toc125971549"/>
            <w:bookmarkStart w:id="126" w:name="_Toc126746446"/>
            <w:bookmarkStart w:id="127" w:name="_Toc126746595"/>
            <w:bookmarkStart w:id="128" w:name="_Toc126750607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PROTAMINA</w:t>
            </w:r>
            <w:bookmarkEnd w:id="125"/>
            <w:bookmarkEnd w:id="126"/>
            <w:bookmarkEnd w:id="127"/>
            <w:bookmarkEnd w:id="128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 xml:space="preserve"> </w:t>
            </w:r>
            <w:r w:rsidR="0041056A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(sulfato de protamina, inj.</w:t>
            </w:r>
          </w:p>
        </w:tc>
        <w:tc>
          <w:tcPr>
            <w:tcW w:w="1039" w:type="pct"/>
            <w:shd w:val="clear" w:color="auto" w:fill="auto"/>
          </w:tcPr>
          <w:p w14:paraId="52EC9F31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573211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Indicad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o</w:t>
            </w:r>
            <w:r w:rsidRPr="00573211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para reversão d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o efeito terapêutico anticoagulante da heparina não fracionada (HNF), como no pós-operatório de cirurgias cardíacas usando CEC, e nos sangramentos decorrentes do uso excessivo de heparina.</w:t>
            </w:r>
          </w:p>
          <w:p w14:paraId="5AA3F889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5F828286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B02C61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Indicad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o</w:t>
            </w:r>
            <w:r w:rsidRPr="00B02C61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, porém com efeito parcial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,</w:t>
            </w:r>
            <w:r w:rsidRPr="00B02C61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na reversão de hemorragia induzida pelas heparinas de baixo peso molecular (HBPM). </w:t>
            </w:r>
          </w:p>
          <w:p w14:paraId="2CD637F5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312D6D59" w14:textId="77777777" w:rsidR="0041056A" w:rsidRPr="00FB2752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Cs/>
                <w:sz w:val="22"/>
                <w:szCs w:val="22"/>
                <w:u w:val="single"/>
                <w:lang w:val="pt-BR"/>
              </w:rPr>
            </w:pPr>
            <w:r w:rsidRPr="00FB2752">
              <w:rPr>
                <w:rFonts w:ascii="Calibri" w:hAnsi="Calibri"/>
                <w:b/>
                <w:iCs/>
                <w:sz w:val="22"/>
                <w:szCs w:val="22"/>
                <w:u w:val="single"/>
                <w:lang w:val="pt-BR"/>
              </w:rPr>
              <w:t xml:space="preserve">Observações: </w:t>
            </w:r>
          </w:p>
          <w:p w14:paraId="36C8C3C7" w14:textId="77777777" w:rsidR="0041056A" w:rsidRDefault="0041056A" w:rsidP="00961DB5">
            <w:pPr>
              <w:pStyle w:val="PargrafodaLista"/>
              <w:numPr>
                <w:ilvl w:val="0"/>
                <w:numId w:val="46"/>
              </w:numPr>
              <w:spacing w:line="276" w:lineRule="auto"/>
              <w:jc w:val="left"/>
              <w:rPr>
                <w:rFonts w:ascii="Calibri" w:hAnsi="Calibri"/>
                <w:b/>
                <w:iCs/>
                <w:sz w:val="22"/>
                <w:szCs w:val="22"/>
                <w:lang w:val="pt-BR"/>
              </w:rPr>
            </w:pPr>
            <w:r w:rsidRPr="00E55B26">
              <w:rPr>
                <w:rFonts w:ascii="Calibri" w:hAnsi="Calibri"/>
                <w:b/>
                <w:iCs/>
                <w:sz w:val="22"/>
                <w:szCs w:val="22"/>
                <w:lang w:val="pt-BR"/>
              </w:rPr>
              <w:t>Atentar para o risco de anafilaxia com o uso da protamina (0,2%)</w:t>
            </w:r>
            <w:r>
              <w:rPr>
                <w:rFonts w:ascii="Calibri" w:hAnsi="Calibri"/>
                <w:b/>
                <w:iCs/>
                <w:sz w:val="22"/>
                <w:szCs w:val="22"/>
                <w:lang w:val="pt-BR"/>
              </w:rPr>
              <w:t>, principalmente em pacientes diabéticos que fazem uso de insulina NPH (mistura de insulina regular e protamina; N</w:t>
            </w:r>
            <w:r w:rsidRPr="00CE09CF">
              <w:rPr>
                <w:rFonts w:ascii="Calibri" w:hAnsi="Calibri"/>
                <w:b/>
                <w:iCs/>
                <w:sz w:val="22"/>
                <w:szCs w:val="22"/>
                <w:lang w:val="pt-BR"/>
              </w:rPr>
              <w:t>eutral Protamine Hagedorn</w:t>
            </w:r>
            <w:r>
              <w:rPr>
                <w:rFonts w:ascii="Calibri" w:hAnsi="Calibri"/>
                <w:b/>
                <w:iCs/>
                <w:sz w:val="22"/>
                <w:szCs w:val="22"/>
                <w:lang w:val="pt-BR"/>
              </w:rPr>
              <w:t>);</w:t>
            </w:r>
          </w:p>
          <w:p w14:paraId="4F0B77F8" w14:textId="77777777" w:rsidR="0041056A" w:rsidRPr="00E55B26" w:rsidRDefault="0041056A" w:rsidP="00961DB5">
            <w:pPr>
              <w:pStyle w:val="PargrafodaLista"/>
              <w:numPr>
                <w:ilvl w:val="0"/>
                <w:numId w:val="46"/>
              </w:numPr>
              <w:spacing w:line="276" w:lineRule="auto"/>
              <w:jc w:val="left"/>
              <w:rPr>
                <w:rFonts w:ascii="Calibri" w:hAnsi="Calibri"/>
                <w:b/>
                <w:i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  <w:lang w:val="pt-BR"/>
              </w:rPr>
              <w:t>Doses excessivas de protamina podem ter efeito anticoagulante.</w:t>
            </w:r>
          </w:p>
        </w:tc>
        <w:tc>
          <w:tcPr>
            <w:tcW w:w="2336" w:type="pct"/>
          </w:tcPr>
          <w:p w14:paraId="0606344C" w14:textId="77777777" w:rsidR="0041056A" w:rsidRPr="00D85697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  <w:r w:rsidRPr="00D85697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HEPARINA NÃO FRACIONADA (HNF)</w:t>
            </w:r>
          </w:p>
          <w:p w14:paraId="3710FADC" w14:textId="77777777" w:rsidR="0041056A" w:rsidRPr="00D85697" w:rsidRDefault="0041056A" w:rsidP="00961DB5">
            <w:pPr>
              <w:pStyle w:val="PargrafodaLista"/>
              <w:numPr>
                <w:ilvl w:val="0"/>
                <w:numId w:val="59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5697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 protamina rapidamente complexa com a HNF, formando um sal estável, inibindo efetivamente a ação anticoagulante da HNF e seu cofator funcional, antitrombina (AT). </w:t>
            </w:r>
          </w:p>
          <w:p w14:paraId="2174AD0E" w14:textId="77777777" w:rsidR="0041056A" w:rsidRPr="007B6FF3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A </w:t>
            </w:r>
            <w:r w:rsidRPr="007B6FF3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meia-vida da protamina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IV é bem curta (</w:t>
            </w:r>
            <w:r w:rsidRPr="007B6FF3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~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7 minutos) e da HNF de ~60-90 minutos</w:t>
            </w:r>
            <w:r w:rsidRPr="007B6FF3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.</w:t>
            </w:r>
          </w:p>
          <w:p w14:paraId="141FB17A" w14:textId="77777777" w:rsidR="0041056A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7B6FF3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1 mg de protamina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IV </w:t>
            </w:r>
            <w:r w:rsidRPr="007B6FF3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neutraliza ~100 U (1 mg) de HNF;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assim, </w:t>
            </w:r>
            <w:r w:rsidRPr="007B6FF3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1 ml da solução injetável de protamina (10 mg/ml), neutraliza ~1000 U de HNF. </w:t>
            </w:r>
          </w:p>
          <w:p w14:paraId="1EE8626D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1E02A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Doses recomendadas para sobredoses conhecidas de HNF, em pacientes com prolongamento do tempo de tromboplastina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parcial </w:t>
            </w:r>
            <w:r w:rsidRPr="001E02A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ativada (TTPA) e </w:t>
            </w:r>
            <w:r w:rsidRPr="002F7C7D"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  <w:t>HEMORRAGIA</w:t>
            </w:r>
            <w:r w:rsidRPr="003C6E78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54149F8D" w14:textId="77777777" w:rsidR="0041056A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B7E08">
              <w:rPr>
                <w:rFonts w:ascii="Calibri" w:hAnsi="Calibri"/>
                <w:b/>
                <w:sz w:val="22"/>
                <w:szCs w:val="22"/>
                <w:lang w:val="pt-BR"/>
              </w:rPr>
              <w:t>Se imediatamente após administração da HNF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3639C7A7" w14:textId="77777777" w:rsidR="0041056A" w:rsidRDefault="0041056A" w:rsidP="00961DB5">
            <w:pPr>
              <w:pStyle w:val="PargrafodaLista"/>
              <w:numPr>
                <w:ilvl w:val="1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 mg de protamina IV para cada 100 U de HNF;</w:t>
            </w:r>
          </w:p>
          <w:p w14:paraId="61AD2CEE" w14:textId="77777777" w:rsidR="0041056A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&gt; 30 minutos da </w:t>
            </w:r>
            <w:r w:rsidRPr="006B7E08">
              <w:rPr>
                <w:rFonts w:ascii="Calibri" w:hAnsi="Calibri"/>
                <w:b/>
                <w:sz w:val="22"/>
                <w:szCs w:val="22"/>
                <w:lang w:val="pt-BR"/>
              </w:rPr>
              <w:t>administração da HNF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4BA18971" w14:textId="77777777" w:rsidR="0041056A" w:rsidRDefault="0041056A" w:rsidP="00961DB5">
            <w:pPr>
              <w:pStyle w:val="PargrafodaLista"/>
              <w:numPr>
                <w:ilvl w:val="1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0,25-0,75 mg de protamina IV para cada 100 U de HNF;</w:t>
            </w:r>
          </w:p>
          <w:p w14:paraId="0F228BDF" w14:textId="77777777" w:rsidR="0041056A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&gt; 2 h da </w:t>
            </w:r>
            <w:r w:rsidRPr="006B7E08">
              <w:rPr>
                <w:rFonts w:ascii="Calibri" w:hAnsi="Calibri"/>
                <w:b/>
                <w:sz w:val="22"/>
                <w:szCs w:val="22"/>
                <w:lang w:val="pt-BR"/>
              </w:rPr>
              <w:t>administração da HNF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3B5C98FE" w14:textId="77777777" w:rsidR="0041056A" w:rsidRDefault="0041056A" w:rsidP="00961DB5">
            <w:pPr>
              <w:pStyle w:val="PargrafodaLista"/>
              <w:numPr>
                <w:ilvl w:val="1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0,25-0,375 mg de protamina IV para cada 100 U de HNF;</w:t>
            </w:r>
          </w:p>
          <w:p w14:paraId="6A661DD7" w14:textId="77777777" w:rsidR="0041056A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4341C2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Se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após </w:t>
            </w:r>
            <w:r w:rsidRPr="004341C2">
              <w:rPr>
                <w:rFonts w:ascii="Calibri" w:hAnsi="Calibri"/>
                <w:b/>
                <w:sz w:val="22"/>
                <w:szCs w:val="22"/>
                <w:lang w:val="pt-BR"/>
              </w:rPr>
              <w:t>infusão contínua (IC) de HNF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6A93AB94" w14:textId="77777777" w:rsidR="0041056A" w:rsidRDefault="0041056A" w:rsidP="00961DB5">
            <w:pPr>
              <w:pStyle w:val="PargrafodaLista"/>
              <w:numPr>
                <w:ilvl w:val="1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25-50 mg de protamina IV.</w:t>
            </w:r>
          </w:p>
          <w:p w14:paraId="3E2A2AE0" w14:textId="77777777" w:rsidR="0041056A" w:rsidRPr="00385219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B6FF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 dose máxima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de protamina </w:t>
            </w:r>
            <w:r w:rsidRPr="007B6FF3">
              <w:rPr>
                <w:rFonts w:ascii="Calibri" w:hAnsi="Calibri"/>
                <w:b/>
                <w:sz w:val="22"/>
                <w:szCs w:val="22"/>
                <w:lang w:val="pt-BR"/>
              </w:rPr>
              <w:t>não deve excede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r</w:t>
            </w:r>
            <w:r w:rsidRPr="007B6FF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50 mg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IV, e deve ser administrada lentamente, ao redor de 15 minutos, numa taxa de infusão máxima de 5 mg/minuto, para evitar hipotensão. Para administração, 5 ml de protamina (50 mg) podem ser diluídos em 25-50 ml de SF0,9% ou SG5%.</w:t>
            </w:r>
          </w:p>
          <w:p w14:paraId="72BBB29B" w14:textId="77777777" w:rsidR="0041056A" w:rsidRPr="00405DE8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Solicitar um coagulograma 5-15 minutos após o término da infusão de protamina, para avaliar o TTPA e a necessidade de nova dose de protamina; repetir o coagulograma 2-8 h após para avaliar potencial rebote da heparina e necessidade de novas doses de protamina. </w:t>
            </w:r>
          </w:p>
          <w:p w14:paraId="25BFDF58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4CE7F056" w14:textId="77777777" w:rsidR="0041056A" w:rsidRPr="00D85697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85697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HEPARINAS DE BAIXO PESO MOLECULAR (HBPM)</w:t>
            </w:r>
          </w:p>
          <w:p w14:paraId="78FBE403" w14:textId="77777777" w:rsidR="0041056A" w:rsidRPr="00BD5933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A</w:t>
            </w:r>
            <w:r w:rsidRPr="00BD593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protamina neutraliza a atividade anti-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fator </w:t>
            </w:r>
            <w:r w:rsidRPr="00BD593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IIa das HBPM, mas é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menos </w:t>
            </w:r>
            <w:r w:rsidRPr="00BD5933">
              <w:rPr>
                <w:rFonts w:ascii="Calibri" w:hAnsi="Calibri"/>
                <w:b/>
                <w:sz w:val="22"/>
                <w:szCs w:val="22"/>
                <w:lang w:val="pt-BR"/>
              </w:rPr>
              <w:t>efetiva na neutralização da atividade anti-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fator </w:t>
            </w:r>
            <w:r w:rsidRPr="00BD5933">
              <w:rPr>
                <w:rFonts w:ascii="Calibri" w:hAnsi="Calibri"/>
                <w:b/>
                <w:sz w:val="22"/>
                <w:szCs w:val="22"/>
                <w:lang w:val="pt-BR"/>
              </w:rPr>
              <w:t>Xa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(ex,. 60-75% da enoxaparina)</w:t>
            </w:r>
            <w:r w:rsidRPr="00BD593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.  </w:t>
            </w:r>
          </w:p>
          <w:p w14:paraId="72673FF2" w14:textId="707D97BF" w:rsidR="0041056A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A meia-vida das HBPM por via SC varia de 3 a 8h.</w:t>
            </w:r>
          </w:p>
          <w:p w14:paraId="7E0D26AA" w14:textId="77777777" w:rsidR="0041056A" w:rsidRPr="007B6FF3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7B6FF3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1 mg de protamina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IV </w:t>
            </w:r>
            <w:r w:rsidRPr="007B6FF3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neutraliza ~100 U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anti-fator Xa </w:t>
            </w:r>
            <w:r w:rsidRPr="007B6FF3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(1 mg) de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enoxaparina, 100 U da dalteparina, 82 U da reviparina ou 158 U da nadroparina</w:t>
            </w:r>
            <w:r w:rsidRPr="007B6FF3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.</w:t>
            </w:r>
          </w:p>
          <w:p w14:paraId="59913C6C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33C7CE08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1E02A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Doses recomendadas para sobredoses conhecidas de H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BPM por via SC em</w:t>
            </w:r>
            <w:r w:rsidRPr="001E02AE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pacientes com </w:t>
            </w:r>
            <w:r w:rsidRPr="00BD6122">
              <w:rPr>
                <w:rFonts w:ascii="Calibri" w:hAnsi="Calibri"/>
                <w:b/>
                <w:color w:val="C00000"/>
                <w:sz w:val="22"/>
                <w:szCs w:val="22"/>
                <w:u w:val="single"/>
                <w:lang w:val="pt-BR"/>
              </w:rPr>
              <w:t>HEMORRAGIA PERSISTENTE</w:t>
            </w:r>
            <w:r w:rsidRPr="003C6E78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1337D7BC" w14:textId="77777777" w:rsidR="0041056A" w:rsidRPr="00405DE8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90843">
              <w:rPr>
                <w:rFonts w:ascii="Calibri" w:hAnsi="Calibri"/>
                <w:b/>
                <w:sz w:val="22"/>
                <w:szCs w:val="22"/>
                <w:lang w:val="pt-BR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e</w:t>
            </w:r>
            <w:r w:rsidRPr="0069084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dentro de 8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Pr="00690843">
              <w:rPr>
                <w:rFonts w:ascii="Calibri" w:hAnsi="Calibri"/>
                <w:b/>
                <w:sz w:val="22"/>
                <w:szCs w:val="22"/>
                <w:lang w:val="pt-BR"/>
              </w:rPr>
              <w:t>h após-administração da HPBM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605BFE11" w14:textId="77777777" w:rsidR="0041056A" w:rsidRDefault="0041056A" w:rsidP="00961DB5">
            <w:pPr>
              <w:pStyle w:val="PargrafodaLista"/>
              <w:numPr>
                <w:ilvl w:val="1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 mg de protamina IV para cada 100 U anti-fator Xa;</w:t>
            </w:r>
          </w:p>
          <w:p w14:paraId="442EC9E9" w14:textId="77777777" w:rsidR="0041056A" w:rsidRPr="00405DE8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690843">
              <w:rPr>
                <w:rFonts w:ascii="Calibri" w:hAnsi="Calibri"/>
                <w:b/>
                <w:sz w:val="22"/>
                <w:szCs w:val="22"/>
                <w:lang w:val="pt-BR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e</w:t>
            </w:r>
            <w:r w:rsidRPr="0069084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&gt;</w:t>
            </w:r>
            <w:r w:rsidRPr="0069084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8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Pr="0069084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h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da </w:t>
            </w:r>
            <w:r w:rsidRPr="00690843">
              <w:rPr>
                <w:rFonts w:ascii="Calibri" w:hAnsi="Calibri"/>
                <w:b/>
                <w:sz w:val="22"/>
                <w:szCs w:val="22"/>
                <w:lang w:val="pt-BR"/>
              </w:rPr>
              <w:t>administração da HPBM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5204D386" w14:textId="77777777" w:rsidR="0041056A" w:rsidRDefault="0041056A" w:rsidP="00961DB5">
            <w:pPr>
              <w:pStyle w:val="PargrafodaLista"/>
              <w:numPr>
                <w:ilvl w:val="1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0,5 mg de protamina IV para cada 100 U anti-fator Xa;</w:t>
            </w:r>
          </w:p>
          <w:p w14:paraId="1E339A64" w14:textId="77777777" w:rsidR="0041056A" w:rsidRPr="00405DE8" w:rsidRDefault="0041056A" w:rsidP="00961DB5">
            <w:pPr>
              <w:pStyle w:val="PargrafodaLista"/>
              <w:numPr>
                <w:ilvl w:val="0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2201C5">
              <w:rPr>
                <w:rFonts w:ascii="Calibri" w:hAnsi="Calibri"/>
                <w:b/>
                <w:sz w:val="22"/>
                <w:szCs w:val="22"/>
                <w:lang w:val="pt-BR"/>
              </w:rPr>
              <w:t>Caso persista o sangramento ou alargamento do TTPA 2-4h após administração da protamina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  <w:p w14:paraId="3CB6B895" w14:textId="77777777" w:rsidR="0041056A" w:rsidRDefault="0041056A" w:rsidP="00961DB5">
            <w:pPr>
              <w:pStyle w:val="PargrafodaLista"/>
              <w:numPr>
                <w:ilvl w:val="1"/>
                <w:numId w:val="45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0,5 mg de protamina IV para cada 100 U anti-fator Xa.</w:t>
            </w:r>
          </w:p>
          <w:p w14:paraId="48D40631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23909244" w14:textId="61817604" w:rsidR="0041056A" w:rsidRPr="004A5D1A" w:rsidRDefault="0041056A" w:rsidP="00ED741D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Calculadora de doses de protamina para adultos disponível na internet: </w:t>
            </w:r>
            <w:hyperlink r:id="rId32" w:history="1">
              <w:r w:rsidRPr="00252608">
                <w:rPr>
                  <w:rStyle w:val="Hyperlink"/>
                  <w:rFonts w:ascii="Calibri" w:hAnsi="Calibri"/>
                  <w:sz w:val="22"/>
                  <w:szCs w:val="22"/>
                  <w:lang w:val="pt-BR"/>
                </w:rPr>
                <w:t>https://clincalc.com/Protamine/</w:t>
              </w:r>
            </w:hyperlink>
          </w:p>
        </w:tc>
        <w:tc>
          <w:tcPr>
            <w:tcW w:w="859" w:type="pct"/>
          </w:tcPr>
          <w:p w14:paraId="7C480A0D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</w:t>
            </w:r>
            <w:r w:rsidRPr="00C865F3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ampolas de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5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ml co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ntendo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10 mg/ml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de cloridrato de protamina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72B67C45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5DCA6477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 ampola de 5 ml= 50 mg  de cloridrato de protamina.</w:t>
            </w:r>
          </w:p>
          <w:p w14:paraId="387D1DBF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32EAED2C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2C625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Estoque mínimo: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10</w:t>
            </w:r>
            <w:r w:rsidRPr="002C625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ampolas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(500 mg)</w:t>
            </w:r>
            <w:r w:rsidRPr="002C625B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79998114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10F9E324" w14:textId="1249161A" w:rsidR="0041056A" w:rsidRPr="002C625B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41056A" w:rsidRPr="0089272C" w14:paraId="79B01F2B" w14:textId="77777777" w:rsidTr="00961DB5">
        <w:tc>
          <w:tcPr>
            <w:tcW w:w="766" w:type="pct"/>
            <w:shd w:val="clear" w:color="auto" w:fill="auto"/>
          </w:tcPr>
          <w:p w14:paraId="4DCA0F5C" w14:textId="5458D3F8" w:rsidR="0041056A" w:rsidRPr="006B34C0" w:rsidRDefault="00D614B3" w:rsidP="00961DB5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  <w:highlight w:val="yellow"/>
                <w:lang w:val="pt-BR"/>
              </w:rPr>
            </w:pPr>
            <w:bookmarkStart w:id="129" w:name="_Toc125971550"/>
            <w:bookmarkStart w:id="130" w:name="_Toc126746447"/>
            <w:bookmarkStart w:id="131" w:name="_Toc126746596"/>
            <w:bookmarkStart w:id="132" w:name="_Toc126750608"/>
            <w:r w:rsidRPr="00DE0BAC"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>SOLUÇÃO ELETROLITICAMENTE BALANCEADA DE POLIETILENOGLICOL</w:t>
            </w:r>
            <w:bookmarkEnd w:id="129"/>
            <w:r>
              <w:rPr>
                <w:rStyle w:val="Ttulo2Char"/>
                <w:rFonts w:ascii="Calibri" w:hAnsi="Calibri" w:cs="Calibri"/>
                <w:bCs w:val="0"/>
                <w:sz w:val="22"/>
                <w:szCs w:val="22"/>
                <w:lang w:val="pt-BR"/>
              </w:rPr>
              <w:t xml:space="preserve"> PARA IRRIGAÇÃO INTESTINAL</w:t>
            </w:r>
            <w:bookmarkEnd w:id="130"/>
            <w:bookmarkEnd w:id="131"/>
            <w:bookmarkEnd w:id="132"/>
            <w:r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41056A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(PEG 3350</w:t>
            </w:r>
            <w:r w:rsidR="00BE23F2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ou 4000</w:t>
            </w:r>
            <w:r w:rsidR="0041056A" w:rsidRPr="006B34C0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)</w:t>
            </w:r>
          </w:p>
        </w:tc>
        <w:tc>
          <w:tcPr>
            <w:tcW w:w="1039" w:type="pct"/>
            <w:shd w:val="clear" w:color="auto" w:fill="auto"/>
          </w:tcPr>
          <w:p w14:paraId="5BBC2BFD" w14:textId="77777777" w:rsidR="0041056A" w:rsidRPr="002113CC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Irrigação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(lavagem)</w:t>
            </w: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intestinal nas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exposições tóxicas a</w:t>
            </w: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comprimidos de sais ferro,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chumbo e</w:t>
            </w: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lítio, e n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os indivíduos que ingeriram </w:t>
            </w: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envelopes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/embalagens </w:t>
            </w: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de cocaína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(pó ou líquida), crack</w:t>
            </w: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anfetaminas, </w:t>
            </w: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heroína ou maconha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para tráfico de drogas ou fuga de flagrante policial,</w:t>
            </w: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principalmente “mulas” 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(</w:t>
            </w:r>
            <w:r w:rsidRPr="005A5706">
              <w:rPr>
                <w:rFonts w:ascii="Calibri" w:hAnsi="Calibri"/>
                <w:b/>
                <w:i/>
                <w:color w:val="C00000"/>
                <w:sz w:val="22"/>
                <w:szCs w:val="22"/>
                <w:u w:val="single"/>
                <w:lang w:val="pt-BR"/>
              </w:rPr>
              <w:t>body-packers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) </w:t>
            </w: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de aeroportos</w:t>
            </w:r>
            <w:r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 xml:space="preserve"> (tráfico internacional de grandes quantidades de envelopes de drogas com alto grau de pureza)</w:t>
            </w:r>
            <w:r w:rsidRPr="002113CC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.</w:t>
            </w:r>
          </w:p>
        </w:tc>
        <w:tc>
          <w:tcPr>
            <w:tcW w:w="2336" w:type="pct"/>
          </w:tcPr>
          <w:p w14:paraId="5CF07481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O objetivo da irrigação intestinal com s</w:t>
            </w:r>
            <w:r w:rsidRPr="00C8741C">
              <w:rPr>
                <w:rFonts w:ascii="Calibri" w:hAnsi="Calibri"/>
                <w:b/>
                <w:sz w:val="22"/>
                <w:szCs w:val="22"/>
                <w:lang w:val="pt-BR"/>
              </w:rPr>
              <w:t>olução eletroliticamente balanceada de polietilenoglicol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é diminuir o tempo de trânsito intestinal e aumentar a evacuação do xenobiótico, sem causar distúrbios eletrolíticos.</w:t>
            </w:r>
          </w:p>
          <w:p w14:paraId="0FB272C6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</w:p>
          <w:p w14:paraId="4BE9DDB6" w14:textId="77777777" w:rsidR="0041056A" w:rsidRPr="00DD4738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DD4738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Doses indicadas:</w:t>
            </w:r>
          </w:p>
          <w:p w14:paraId="65EB6967" w14:textId="77777777" w:rsidR="0041056A" w:rsidRPr="002113CC" w:rsidRDefault="0041056A" w:rsidP="00961DB5">
            <w:pPr>
              <w:pStyle w:val="PargrafodaLista"/>
              <w:numPr>
                <w:ilvl w:val="0"/>
                <w:numId w:val="4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2113CC">
              <w:rPr>
                <w:rFonts w:ascii="Calibri" w:hAnsi="Calibri"/>
                <w:b/>
                <w:sz w:val="22"/>
                <w:szCs w:val="22"/>
                <w:lang w:val="pt-BR"/>
              </w:rPr>
              <w:t>Crianças (9 m - 6 a)</w:t>
            </w:r>
            <w:r w:rsidRPr="002113CC">
              <w:rPr>
                <w:rFonts w:ascii="Calibri" w:hAnsi="Calibri"/>
                <w:sz w:val="22"/>
                <w:szCs w:val="22"/>
                <w:lang w:val="pt-BR"/>
              </w:rPr>
              <w:t>: 500 ml/h;</w:t>
            </w:r>
          </w:p>
          <w:p w14:paraId="13378FE7" w14:textId="77777777" w:rsidR="0041056A" w:rsidRPr="002113CC" w:rsidRDefault="0041056A" w:rsidP="00961DB5">
            <w:pPr>
              <w:pStyle w:val="PargrafodaLista"/>
              <w:numPr>
                <w:ilvl w:val="0"/>
                <w:numId w:val="4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2113CC">
              <w:rPr>
                <w:rFonts w:ascii="Calibri" w:hAnsi="Calibri"/>
                <w:b/>
                <w:sz w:val="22"/>
                <w:szCs w:val="22"/>
                <w:lang w:val="pt-BR"/>
              </w:rPr>
              <w:t>Crianças (6 a - 12 a):</w:t>
            </w:r>
            <w:r w:rsidRPr="002113CC">
              <w:rPr>
                <w:rFonts w:ascii="Calibri" w:hAnsi="Calibri"/>
                <w:sz w:val="22"/>
                <w:szCs w:val="22"/>
                <w:lang w:val="pt-BR"/>
              </w:rPr>
              <w:t xml:space="preserve"> 1000 ml/h;</w:t>
            </w:r>
          </w:p>
          <w:p w14:paraId="55985195" w14:textId="77777777" w:rsidR="0041056A" w:rsidRDefault="0041056A" w:rsidP="00961DB5">
            <w:pPr>
              <w:pStyle w:val="PargrafodaLista"/>
              <w:numPr>
                <w:ilvl w:val="0"/>
                <w:numId w:val="4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2113CC">
              <w:rPr>
                <w:rFonts w:ascii="Calibri" w:hAnsi="Calibri"/>
                <w:b/>
                <w:sz w:val="22"/>
                <w:szCs w:val="22"/>
                <w:lang w:val="pt-BR"/>
              </w:rPr>
              <w:t>Adolescentes e adultos:</w:t>
            </w:r>
            <w:r w:rsidRPr="002113CC">
              <w:rPr>
                <w:rFonts w:ascii="Calibri" w:hAnsi="Calibri"/>
                <w:sz w:val="22"/>
                <w:szCs w:val="22"/>
                <w:lang w:val="pt-BR"/>
              </w:rPr>
              <w:t xml:space="preserve"> 1500-2000 ml/h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4F7E919A" w14:textId="77777777" w:rsidR="0041056A" w:rsidRPr="004862E0" w:rsidRDefault="0041056A" w:rsidP="00961DB5">
            <w:pPr>
              <w:pStyle w:val="PargrafodaLista"/>
              <w:numPr>
                <w:ilvl w:val="0"/>
                <w:numId w:val="56"/>
              </w:numPr>
              <w:spacing w:line="276" w:lineRule="auto"/>
              <w:jc w:val="left"/>
              <w:rPr>
                <w:rFonts w:ascii="Calibri" w:hAnsi="Calibri" w:cs="Times New Roman"/>
                <w:b/>
                <w:sz w:val="22"/>
                <w:lang w:val="pt-BR"/>
              </w:rPr>
            </w:pPr>
            <w:r w:rsidRPr="004862E0">
              <w:rPr>
                <w:rFonts w:ascii="Calibri" w:hAnsi="Calibri" w:cs="Times New Roman"/>
                <w:b/>
                <w:sz w:val="22"/>
                <w:lang w:val="pt-BR"/>
              </w:rPr>
              <w:t>Manter a administração da solução até o aparecimento de um efluente retal claro, ou até eliminação de todos envelopes de drogas, de acordo com o número de envelopes detectado na tomografia abdominal.</w:t>
            </w:r>
          </w:p>
          <w:p w14:paraId="45A49DEE" w14:textId="21566E2F" w:rsidR="0041056A" w:rsidRPr="008F6074" w:rsidRDefault="0041056A" w:rsidP="00961DB5">
            <w:pPr>
              <w:pStyle w:val="PargrafodaLista"/>
              <w:numPr>
                <w:ilvl w:val="0"/>
                <w:numId w:val="56"/>
              </w:num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4862E0">
              <w:rPr>
                <w:rFonts w:ascii="Calibri" w:hAnsi="Calibri" w:cs="Times New Roman"/>
                <w:b/>
                <w:sz w:val="22"/>
                <w:lang w:val="pt-BR"/>
              </w:rPr>
              <w:t>O tratamento dura, em geral, 4-6h, porém pode ser prolongado (&gt; 12h), principalmente nos “mulas” de tráfico de drogas.</w:t>
            </w:r>
          </w:p>
          <w:p w14:paraId="574B9D42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0ADCD91A" w14:textId="77777777" w:rsidR="0041056A" w:rsidRPr="00DD5BA1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  <w:r w:rsidRPr="00DD5BA1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CONTRAINDICADO EM PACIENTES COM:</w:t>
            </w:r>
          </w:p>
          <w:p w14:paraId="5581720B" w14:textId="77777777" w:rsidR="0041056A" w:rsidRPr="007937DE" w:rsidRDefault="0041056A" w:rsidP="00961DB5">
            <w:pPr>
              <w:numPr>
                <w:ilvl w:val="0"/>
                <w:numId w:val="44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O</w:t>
            </w: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bstrução ou perfuração intestinal;</w:t>
            </w:r>
          </w:p>
          <w:p w14:paraId="6200E14B" w14:textId="77777777" w:rsidR="0041056A" w:rsidRPr="007937DE" w:rsidRDefault="0041056A" w:rsidP="00961DB5">
            <w:pPr>
              <w:numPr>
                <w:ilvl w:val="0"/>
                <w:numId w:val="44"/>
              </w:numPr>
              <w:spacing w:line="276" w:lineRule="auto"/>
              <w:jc w:val="left"/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Í</w:t>
            </w: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leo paralítico;</w:t>
            </w:r>
          </w:p>
          <w:p w14:paraId="56CFD728" w14:textId="77777777" w:rsidR="0041056A" w:rsidRPr="00304971" w:rsidRDefault="0041056A" w:rsidP="00961DB5">
            <w:pPr>
              <w:numPr>
                <w:ilvl w:val="0"/>
                <w:numId w:val="4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D</w:t>
            </w:r>
            <w:r w:rsidRPr="007937DE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epressão neurológica, quando não há proteção das vias aéreas</w:t>
            </w: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;</w:t>
            </w:r>
          </w:p>
          <w:p w14:paraId="7E7DFC5C" w14:textId="77777777" w:rsidR="0041056A" w:rsidRPr="0001489F" w:rsidRDefault="0041056A" w:rsidP="00961DB5">
            <w:pPr>
              <w:numPr>
                <w:ilvl w:val="0"/>
                <w:numId w:val="4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>Instabilidade hemodinâmica.</w:t>
            </w:r>
          </w:p>
          <w:p w14:paraId="424745AA" w14:textId="77777777" w:rsidR="0041056A" w:rsidRPr="00303A3C" w:rsidRDefault="0041056A" w:rsidP="00961DB5">
            <w:pPr>
              <w:spacing w:line="276" w:lineRule="auto"/>
              <w:jc w:val="left"/>
              <w:rPr>
                <w:rFonts w:ascii="Calibri" w:hAnsi="Calibri"/>
                <w:iCs/>
                <w:color w:val="C00000"/>
                <w:sz w:val="22"/>
                <w:szCs w:val="22"/>
                <w:lang w:val="pt-BR"/>
              </w:rPr>
            </w:pPr>
            <w:r w:rsidRPr="00303A3C"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>S</w:t>
            </w:r>
            <w:r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>E O PACIENTE APRESENTAR S</w:t>
            </w:r>
            <w:r w:rsidRPr="00303A3C"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 xml:space="preserve">INAIS/SINTOMAS INDICATIVOS DE INTOXICAÇÕES POR COCAÍNA OU ANFETAMINAS </w:t>
            </w:r>
            <w:r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 xml:space="preserve">(ROTURA DOS </w:t>
            </w:r>
            <w:r w:rsidRPr="00303A3C"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>ENVELOPES</w:t>
            </w:r>
            <w:r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 xml:space="preserve">) ESTÁ IMEDIATAMENTE INDICADA A REMOÇÃO </w:t>
            </w:r>
            <w:r w:rsidRPr="00303A3C"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 xml:space="preserve">CIRÚRGICA </w:t>
            </w:r>
            <w:r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>DE TODOS ENVELOPES (E</w:t>
            </w:r>
            <w:r w:rsidRPr="00303A3C"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>MERGÊNCIA</w:t>
            </w:r>
            <w:r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>, RISCO DE MORTE)</w:t>
            </w:r>
            <w:r w:rsidRPr="00303A3C">
              <w:rPr>
                <w:rFonts w:ascii="Calibri" w:hAnsi="Calibri"/>
                <w:b/>
                <w:iCs/>
                <w:color w:val="C00000"/>
                <w:sz w:val="22"/>
                <w:szCs w:val="22"/>
                <w:lang w:val="pt-BR"/>
              </w:rPr>
              <w:t>.</w:t>
            </w:r>
          </w:p>
          <w:p w14:paraId="4348687E" w14:textId="77777777" w:rsidR="0041056A" w:rsidRPr="0001489F" w:rsidRDefault="0041056A" w:rsidP="00961DB5">
            <w:pPr>
              <w:numPr>
                <w:ilvl w:val="0"/>
                <w:numId w:val="44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Nos pacientes (“mulas”) que apresentam sinais de intoxicação opioide iniciar tratamento com naloxona e ventilação mecânica caso necessário. Em geral não há necessidade cirúrgica para remoção dos envelopes. </w:t>
            </w:r>
          </w:p>
        </w:tc>
        <w:tc>
          <w:tcPr>
            <w:tcW w:w="859" w:type="pct"/>
          </w:tcPr>
          <w:p w14:paraId="4BDD8C87" w14:textId="77777777" w:rsidR="00BE23F2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F03B8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Apresentação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potes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contendo</w:t>
            </w:r>
            <w:r w:rsidR="00BE23F2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0D650052" w14:textId="77777777" w:rsidR="00BE23F2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polietilenoglicol</w:t>
            </w:r>
            <w:r w:rsidR="00BE23F2">
              <w:rPr>
                <w:rFonts w:ascii="Calibri" w:hAnsi="Calibri"/>
                <w:sz w:val="22"/>
                <w:szCs w:val="22"/>
                <w:lang w:val="pt-BR"/>
              </w:rPr>
              <w:t>: 23,6</w:t>
            </w:r>
            <w:r w:rsidR="00BE23F2" w:rsidRPr="007937DE">
              <w:rPr>
                <w:rFonts w:ascii="Calibri" w:hAnsi="Calibri"/>
                <w:sz w:val="22"/>
                <w:szCs w:val="22"/>
                <w:lang w:val="pt-BR"/>
              </w:rPr>
              <w:t>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;  cloreto de sódio</w:t>
            </w:r>
            <w:r w:rsidR="00BE23F2">
              <w:rPr>
                <w:rFonts w:ascii="Calibri" w:hAnsi="Calibri"/>
                <w:sz w:val="22"/>
                <w:szCs w:val="22"/>
                <w:lang w:val="pt-BR"/>
              </w:rPr>
              <w:t>: 0,59</w:t>
            </w:r>
            <w:r w:rsidR="00BE23F2" w:rsidRPr="007937DE">
              <w:rPr>
                <w:rFonts w:ascii="Calibri" w:hAnsi="Calibri"/>
                <w:sz w:val="22"/>
                <w:szCs w:val="22"/>
                <w:lang w:val="pt-BR"/>
              </w:rPr>
              <w:t>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;  </w:t>
            </w:r>
            <w:r w:rsidR="00BE23F2" w:rsidRPr="007937DE">
              <w:rPr>
                <w:rFonts w:ascii="Calibri" w:hAnsi="Calibri"/>
                <w:sz w:val="22"/>
                <w:szCs w:val="22"/>
                <w:lang w:val="pt-BR"/>
              </w:rPr>
              <w:t>cloreto de potássio</w:t>
            </w:r>
            <w:r w:rsidR="00BE23F2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  <w:r w:rsidR="00BE23F2" w:rsidRPr="007937DE">
              <w:rPr>
                <w:rFonts w:ascii="Calibri" w:hAnsi="Calibri"/>
                <w:sz w:val="22"/>
                <w:szCs w:val="22"/>
                <w:lang w:val="pt-BR"/>
              </w:rPr>
              <w:t>0,3</w:t>
            </w:r>
            <w:r w:rsidR="00BE23F2">
              <w:rPr>
                <w:rFonts w:ascii="Calibri" w:hAnsi="Calibri"/>
                <w:sz w:val="22"/>
                <w:szCs w:val="22"/>
                <w:lang w:val="pt-BR"/>
              </w:rPr>
              <w:t>5</w:t>
            </w:r>
            <w:r w:rsidR="00BE23F2" w:rsidRPr="007937DE">
              <w:rPr>
                <w:rFonts w:ascii="Calibri" w:hAnsi="Calibri"/>
                <w:sz w:val="22"/>
                <w:szCs w:val="22"/>
                <w:lang w:val="pt-BR"/>
              </w:rPr>
              <w:t>g</w:t>
            </w:r>
            <w:r w:rsidR="00BE23F2">
              <w:rPr>
                <w:rFonts w:ascii="Calibri" w:hAnsi="Calibri"/>
                <w:sz w:val="22"/>
                <w:szCs w:val="22"/>
                <w:lang w:val="pt-BR"/>
              </w:rPr>
              <w:t xml:space="preserve">;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bicarbonato de sódio</w:t>
            </w:r>
            <w:r w:rsidR="00BE23F2">
              <w:rPr>
                <w:rFonts w:ascii="Calibri" w:hAnsi="Calibri"/>
                <w:sz w:val="22"/>
                <w:szCs w:val="22"/>
                <w:lang w:val="pt-BR"/>
              </w:rPr>
              <w:t>: 0,67</w:t>
            </w:r>
            <w:r w:rsidR="00BE23F2" w:rsidRPr="007937DE">
              <w:rPr>
                <w:rFonts w:ascii="Calibri" w:hAnsi="Calibri"/>
                <w:sz w:val="22"/>
                <w:szCs w:val="22"/>
                <w:lang w:val="pt-BR"/>
              </w:rPr>
              <w:t>g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; </w:t>
            </w:r>
          </w:p>
          <w:p w14:paraId="76CA0521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sulfato de sódio</w:t>
            </w:r>
            <w:r w:rsidR="00BE23F2">
              <w:rPr>
                <w:rFonts w:ascii="Calibri" w:hAnsi="Calibri"/>
                <w:sz w:val="22"/>
                <w:szCs w:val="22"/>
                <w:lang w:val="pt-BR"/>
              </w:rPr>
              <w:t>: 2,29g;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para ser reconstituído em 500 ml de água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3F33BDCC" w14:textId="0BCDCCD5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Produto obtido de farmácias magistrais. </w:t>
            </w:r>
          </w:p>
          <w:p w14:paraId="3F0509DC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 </w:t>
            </w:r>
          </w:p>
          <w:p w14:paraId="3F581317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C11CD6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72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potes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de 25 g (um tratamento de 24 h para um adulto)</w:t>
            </w:r>
            <w:r w:rsidRPr="00C11CD6">
              <w:rPr>
                <w:rFonts w:ascii="Calibri" w:hAnsi="Calibri"/>
                <w:b/>
                <w:sz w:val="22"/>
                <w:szCs w:val="22"/>
                <w:lang w:val="pt-BR"/>
              </w:rPr>
              <w:t>.</w:t>
            </w:r>
          </w:p>
          <w:p w14:paraId="30E12EDA" w14:textId="77777777" w:rsidR="0041056A" w:rsidRPr="00C11CD6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1641E9B9" w14:textId="77777777" w:rsidR="0041056A" w:rsidRPr="000728AB" w:rsidRDefault="0041056A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41056A" w:rsidRPr="00862C21" w14:paraId="798320B6" w14:textId="77777777" w:rsidTr="00961DB5">
        <w:tc>
          <w:tcPr>
            <w:tcW w:w="766" w:type="pct"/>
            <w:shd w:val="clear" w:color="auto" w:fill="auto"/>
          </w:tcPr>
          <w:p w14:paraId="74A8A0F7" w14:textId="25E7AA81" w:rsidR="0041056A" w:rsidRPr="006B34C0" w:rsidRDefault="00D614B3" w:rsidP="00961DB5">
            <w:pPr>
              <w:spacing w:line="276" w:lineRule="auto"/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bookmarkStart w:id="133" w:name="_Toc125971551"/>
            <w:bookmarkStart w:id="134" w:name="_Toc126746448"/>
            <w:bookmarkStart w:id="135" w:name="_Toc126746597"/>
            <w:bookmarkStart w:id="136" w:name="_Toc126750609"/>
            <w:r w:rsidRPr="006B34C0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SULFATO DE MAGNÉSIO</w:t>
            </w:r>
            <w:bookmarkEnd w:id="133"/>
            <w:bookmarkEnd w:id="134"/>
            <w:bookmarkEnd w:id="135"/>
            <w:bookmarkEnd w:id="136"/>
            <w:r w:rsidR="0041056A" w:rsidRPr="006B34C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</w:t>
            </w:r>
            <w:r w:rsidR="0041056A" w:rsidRPr="006B34C0">
              <w:rPr>
                <w:rFonts w:ascii="Calibri" w:eastAsia="Calibri" w:hAnsi="Calibri" w:cs="Calibri"/>
                <w:b/>
                <w:sz w:val="22"/>
                <w:szCs w:val="22"/>
              </w:rPr>
              <w:t>inj.</w:t>
            </w:r>
          </w:p>
        </w:tc>
        <w:tc>
          <w:tcPr>
            <w:tcW w:w="1039" w:type="pct"/>
            <w:shd w:val="clear" w:color="auto" w:fill="auto"/>
          </w:tcPr>
          <w:p w14:paraId="043416C0" w14:textId="77777777" w:rsidR="0041056A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8D7D55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>Intoxicações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 </w:t>
            </w:r>
            <w:r w:rsidRPr="008D7D55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por 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medicamentos </w:t>
            </w:r>
            <w:r w:rsidRPr="008D7D55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>que causam bloqueio de canais de potássio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, como </w:t>
            </w:r>
            <w:r w:rsidRPr="008D7D55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>antidepressivos tricíclicos, antipsicóticos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 e</w:t>
            </w:r>
            <w:r w:rsidRPr="008D7D55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 carbamazepina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>, que evoluem com:</w:t>
            </w:r>
          </w:p>
          <w:p w14:paraId="5D597055" w14:textId="77777777" w:rsidR="0041056A" w:rsidRPr="00D22E6B" w:rsidRDefault="0041056A" w:rsidP="00961DB5">
            <w:pPr>
              <w:pStyle w:val="PargrafodaLista"/>
              <w:numPr>
                <w:ilvl w:val="0"/>
                <w:numId w:val="68"/>
              </w:numPr>
              <w:spacing w:line="276" w:lineRule="auto"/>
              <w:jc w:val="left"/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D22E6B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>Torsades de pointes e taquicardia ventricular precedidos de alargamento de intervalo QT corrigido.</w:t>
            </w:r>
          </w:p>
          <w:p w14:paraId="4B3749A4" w14:textId="77777777" w:rsidR="0041056A" w:rsidRPr="00D22E6B" w:rsidRDefault="0041056A" w:rsidP="00961DB5">
            <w:pPr>
              <w:pStyle w:val="PargrafodaLista"/>
              <w:numPr>
                <w:ilvl w:val="0"/>
                <w:numId w:val="68"/>
              </w:numPr>
              <w:spacing w:line="276" w:lineRule="auto"/>
              <w:jc w:val="left"/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D22E6B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>Prolongamento progressivo de QT corrigido (&gt; 500 mseg).</w:t>
            </w:r>
          </w:p>
          <w:p w14:paraId="2310ED79" w14:textId="77777777" w:rsidR="0041056A" w:rsidRPr="00D22E6B" w:rsidRDefault="0041056A" w:rsidP="00961DB5">
            <w:pPr>
              <w:pStyle w:val="PargrafodaLista"/>
              <w:numPr>
                <w:ilvl w:val="0"/>
                <w:numId w:val="68"/>
              </w:numPr>
              <w:spacing w:line="276" w:lineRule="auto"/>
              <w:jc w:val="left"/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D22E6B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>Hipomagnesemia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 (&lt; 1,8 mg/dl)</w:t>
            </w:r>
            <w:r w:rsidRPr="00D22E6B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 e alargamento de intervalo QT corrigido.</w:t>
            </w:r>
          </w:p>
          <w:p w14:paraId="5B730D14" w14:textId="77777777" w:rsidR="0041056A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67C9951A" w14:textId="77777777" w:rsidR="0041056A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C865F3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>Considerar o uso em intoxicações por digoxina cursando com taquiarrtmias e ectopias.</w:t>
            </w:r>
            <w:r w:rsidRPr="008D7D55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 </w:t>
            </w:r>
          </w:p>
          <w:p w14:paraId="3B69E24F" w14:textId="77777777" w:rsidR="0041056A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681BBEB3" w14:textId="77777777" w:rsidR="0041056A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</w:pPr>
            <w:r w:rsidRPr="00C865F3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Considerar o uso em intoxicações </w:t>
            </w:r>
            <w:r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>que podem evoluir com hipomagnesemia – ex. ácido fluorídrico</w:t>
            </w:r>
            <w:r w:rsidRPr="00C865F3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>.</w:t>
            </w:r>
            <w:r w:rsidRPr="008D7D55"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  <w:t xml:space="preserve"> </w:t>
            </w:r>
          </w:p>
          <w:p w14:paraId="0B6FB63E" w14:textId="77777777" w:rsidR="0041056A" w:rsidRPr="008D7D55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</w:tc>
        <w:tc>
          <w:tcPr>
            <w:tcW w:w="2336" w:type="pct"/>
          </w:tcPr>
          <w:p w14:paraId="57AF1A80" w14:textId="77777777" w:rsidR="0041056A" w:rsidRPr="008D7D55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O s</w:t>
            </w:r>
            <w:r w:rsidRPr="008D7D55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ulfato de magnésio bloqueia a liberação de cálcio do retículo sarcoplasmático e produz efeito inotrópico positivo devido redução da resistência vascular sistêmica e pulmonar.</w:t>
            </w:r>
          </w:p>
          <w:p w14:paraId="73988041" w14:textId="77777777" w:rsidR="0041056A" w:rsidRPr="001C262A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</w:pPr>
          </w:p>
          <w:p w14:paraId="3C7D4310" w14:textId="77777777" w:rsidR="0041056A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Doses recomendadas:</w:t>
            </w:r>
          </w:p>
          <w:p w14:paraId="2C82839F" w14:textId="77777777" w:rsidR="0041056A" w:rsidRPr="008D7D55" w:rsidRDefault="0041056A" w:rsidP="00961DB5">
            <w:pPr>
              <w:pStyle w:val="PargrafodaLista"/>
              <w:numPr>
                <w:ilvl w:val="0"/>
                <w:numId w:val="69"/>
              </w:num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8D7D55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Crianças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>: 25-50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 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mg/kg 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(0,25-0,5 ml/kg de sulfato de magnésio a 10%) 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até 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o 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>máximo de 2 g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 (20 ml de sulfato de magnésio a 10%). </w:t>
            </w:r>
          </w:p>
          <w:p w14:paraId="26003731" w14:textId="77777777" w:rsidR="0041056A" w:rsidRPr="00C865F3" w:rsidRDefault="0041056A" w:rsidP="00961DB5">
            <w:pPr>
              <w:pStyle w:val="PargrafodaLista"/>
              <w:numPr>
                <w:ilvl w:val="0"/>
                <w:numId w:val="69"/>
              </w:num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C865F3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Adultos</w:t>
            </w:r>
            <w:r w:rsidRPr="00C865F3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: 2g 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>(20 ml de sulfato de magnésio a 10%).</w:t>
            </w:r>
          </w:p>
          <w:p w14:paraId="715210C4" w14:textId="77777777" w:rsidR="0041056A" w:rsidRPr="0048238E" w:rsidRDefault="0041056A" w:rsidP="00961DB5">
            <w:pPr>
              <w:pStyle w:val="PargrafodaLista"/>
              <w:numPr>
                <w:ilvl w:val="1"/>
                <w:numId w:val="69"/>
              </w:num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48238E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Infusão IV em 10-15 min.</w:t>
            </w:r>
          </w:p>
          <w:p w14:paraId="745A115B" w14:textId="77777777" w:rsidR="0041056A" w:rsidRPr="008D7D55" w:rsidRDefault="0041056A" w:rsidP="00961DB5">
            <w:pPr>
              <w:pStyle w:val="PargrafodaLista"/>
              <w:numPr>
                <w:ilvl w:val="1"/>
                <w:numId w:val="69"/>
              </w:num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8D7D55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Medir o magnésio plasmático após a administração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.</w:t>
            </w:r>
          </w:p>
          <w:p w14:paraId="3E58CE77" w14:textId="77777777" w:rsidR="0041056A" w:rsidRPr="0048238E" w:rsidRDefault="0041056A" w:rsidP="00961DB5">
            <w:pPr>
              <w:pStyle w:val="PargrafodaLista"/>
              <w:numPr>
                <w:ilvl w:val="1"/>
                <w:numId w:val="69"/>
              </w:num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Podem ser necessárias do</w:t>
            </w:r>
            <w:r w:rsidRPr="0048238E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ses adicionais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 xml:space="preserve"> até normalização dos níveis séricos de magnésio, além da correção da hipocalemia.</w:t>
            </w:r>
          </w:p>
          <w:p w14:paraId="6FF56F30" w14:textId="77777777" w:rsidR="0041056A" w:rsidRPr="003342E7" w:rsidRDefault="0041056A" w:rsidP="00961DB5">
            <w:pPr>
              <w:spacing w:line="276" w:lineRule="auto"/>
              <w:rPr>
                <w:rFonts w:ascii="Calibri" w:eastAsia="Calibri" w:hAnsi="Calibri" w:cs="Calibri"/>
                <w:b/>
                <w:color w:val="C00000"/>
                <w:sz w:val="22"/>
                <w:szCs w:val="22"/>
                <w:lang w:val="pt-BR"/>
              </w:rPr>
            </w:pPr>
            <w:r w:rsidRPr="003342E7">
              <w:rPr>
                <w:rFonts w:ascii="Calibri" w:eastAsia="Calibri" w:hAnsi="Calibri" w:cs="Calibri"/>
                <w:b/>
                <w:color w:val="C00000"/>
                <w:sz w:val="22"/>
                <w:szCs w:val="22"/>
                <w:lang w:val="pt-BR"/>
              </w:rPr>
              <w:t xml:space="preserve">OBSERVAÇÕES: </w:t>
            </w:r>
          </w:p>
          <w:p w14:paraId="35B77AFA" w14:textId="77777777" w:rsidR="0041056A" w:rsidRPr="003342E7" w:rsidRDefault="0041056A" w:rsidP="00961DB5">
            <w:pPr>
              <w:numPr>
                <w:ilvl w:val="0"/>
                <w:numId w:val="70"/>
              </w:num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</w:pPr>
            <w:r w:rsidRPr="003342E7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 xml:space="preserve">Em pacientes adultos com </w:t>
            </w:r>
            <w:r w:rsidRPr="00DC3A9E">
              <w:rPr>
                <w:rFonts w:ascii="Calibri" w:eastAsia="Calibri" w:hAnsi="Calibri" w:cs="Calibri"/>
                <w:b/>
                <w:i/>
                <w:sz w:val="22"/>
                <w:szCs w:val="22"/>
                <w:lang w:val="pt-BR"/>
              </w:rPr>
              <w:t>torsades des points</w:t>
            </w:r>
            <w:r w:rsidRPr="003342E7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 xml:space="preserve"> em geral é administrada uma dose in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i</w:t>
            </w:r>
            <w:r w:rsidRPr="003342E7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cial de 2g IV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 xml:space="preserve">, seguida de infusões intermitentes de 0,5-1g/hora de sulfato de magnésio (5-10 ml de sulfato de magnésio a 10%), com o objetivo de manter adequadas concentrações séricas e intracelulares de magnésio. </w:t>
            </w:r>
          </w:p>
          <w:p w14:paraId="5AF58A15" w14:textId="77777777" w:rsidR="0041056A" w:rsidRPr="003342E7" w:rsidRDefault="0041056A" w:rsidP="00961DB5">
            <w:pPr>
              <w:numPr>
                <w:ilvl w:val="0"/>
                <w:numId w:val="70"/>
              </w:num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O</w:t>
            </w:r>
            <w:r w:rsidRPr="003342E7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 xml:space="preserve"> sulfato de magnésio tem efeito protetor para arr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i</w:t>
            </w:r>
            <w:r w:rsidRPr="003342E7">
              <w:rPr>
                <w:rFonts w:ascii="Calibri" w:eastAsia="Calibri" w:hAnsi="Calibri" w:cs="Calibri"/>
                <w:b/>
                <w:sz w:val="22"/>
                <w:szCs w:val="22"/>
                <w:lang w:val="pt-BR"/>
              </w:rPr>
              <w:t>tmias ventriculares, mas não encurta o intervalo QT corrigido.</w:t>
            </w:r>
          </w:p>
          <w:p w14:paraId="18BF297D" w14:textId="77777777" w:rsidR="0041056A" w:rsidRPr="008D7D55" w:rsidRDefault="0041056A" w:rsidP="00961DB5">
            <w:pPr>
              <w:spacing w:line="276" w:lineRule="auto"/>
              <w:rPr>
                <w:rFonts w:ascii="Calibri" w:eastAsia="Calibri" w:hAnsi="Calibri" w:cs="Calibri"/>
                <w:b/>
                <w:i/>
                <w:color w:val="C00000"/>
                <w:sz w:val="22"/>
                <w:szCs w:val="22"/>
                <w:lang w:val="pt-BR"/>
              </w:rPr>
            </w:pPr>
          </w:p>
          <w:p w14:paraId="3ADC28A4" w14:textId="1C1DECEB" w:rsidR="0041056A" w:rsidRPr="008D7D55" w:rsidRDefault="0041056A" w:rsidP="00ED741D">
            <w:pPr>
              <w:spacing w:line="276" w:lineRule="auto"/>
              <w:rPr>
                <w:rFonts w:ascii="Calibri" w:eastAsia="Calibri" w:hAnsi="Calibri" w:cs="Calibri"/>
                <w:b/>
                <w:color w:val="C00000"/>
                <w:sz w:val="22"/>
                <w:szCs w:val="22"/>
                <w:lang w:val="pt-BR"/>
              </w:rPr>
            </w:pPr>
            <w:r w:rsidRPr="00D22E6B">
              <w:rPr>
                <w:rFonts w:ascii="Calibri" w:eastAsia="Calibri" w:hAnsi="Calibri" w:cs="Calibri"/>
                <w:b/>
                <w:color w:val="C00000"/>
                <w:szCs w:val="22"/>
                <w:lang w:val="pt-BR"/>
              </w:rPr>
              <w:t xml:space="preserve">EM TODOS OS PACIENTES COM ALARGAMENTO DO INTERVALO QT CORRIGIDO (QTc), OS NÍVEIS SÉRICOS DE MAGNÉSIO, POTÁSSIO E CÁLCIO SÉRICO DEVEM SER MENSURADOS E CORRIGIDOS CASO OS VALORES </w:t>
            </w:r>
            <w:r>
              <w:rPr>
                <w:rFonts w:ascii="Calibri" w:eastAsia="Calibri" w:hAnsi="Calibri" w:cs="Calibri"/>
                <w:b/>
                <w:color w:val="C00000"/>
                <w:szCs w:val="22"/>
                <w:lang w:val="pt-BR"/>
              </w:rPr>
              <w:t>SE ENCONTREM ABAIXO DOS VALORES NORMAIS</w:t>
            </w:r>
            <w:r w:rsidRPr="00D22E6B">
              <w:rPr>
                <w:rFonts w:ascii="Calibri" w:eastAsia="Calibri" w:hAnsi="Calibri" w:cs="Calibri"/>
                <w:b/>
                <w:color w:val="C00000"/>
                <w:szCs w:val="22"/>
                <w:lang w:val="pt-BR"/>
              </w:rPr>
              <w:t xml:space="preserve">. </w:t>
            </w:r>
          </w:p>
        </w:tc>
        <w:tc>
          <w:tcPr>
            <w:tcW w:w="859" w:type="pct"/>
          </w:tcPr>
          <w:p w14:paraId="2B0FEE27" w14:textId="77777777" w:rsidR="0041056A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8D7D55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pt-BR"/>
              </w:rPr>
              <w:t>Apresentaçã</w:t>
            </w:r>
            <w:r w:rsidRPr="008D7D55">
              <w:rPr>
                <w:rFonts w:ascii="Calibri" w:eastAsia="Calibri" w:hAnsi="Calibri" w:cs="Calibri"/>
                <w:sz w:val="22"/>
                <w:szCs w:val="22"/>
                <w:u w:val="single"/>
                <w:lang w:val="pt-BR"/>
              </w:rPr>
              <w:t>o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: ampolas de 10 ml 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>a 10% (100 mg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>/m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l de sulfato de magnésio = 0,8 mEq/ml 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>de sulfato de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 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>magnési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o).  </w:t>
            </w:r>
          </w:p>
          <w:p w14:paraId="1D300817" w14:textId="77777777" w:rsidR="0041056A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  <w:p w14:paraId="307F3B06" w14:textId="4316BB14" w:rsidR="00650B6B" w:rsidRDefault="0041056A" w:rsidP="00961DB5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1 ampola de 10 ml= 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g (8 mEq 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>de sulfato de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 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>magnési</w:t>
            </w:r>
            <w:r>
              <w:rPr>
                <w:rFonts w:ascii="Calibri" w:eastAsia="Calibri" w:hAnsi="Calibri" w:cs="Calibri"/>
                <w:sz w:val="22"/>
                <w:szCs w:val="22"/>
                <w:lang w:val="pt-BR"/>
              </w:rPr>
              <w:t>o)</w:t>
            </w:r>
            <w:r w:rsidRPr="008D7D55">
              <w:rPr>
                <w:rFonts w:ascii="Calibri" w:eastAsia="Calibri" w:hAnsi="Calibri" w:cs="Calibri"/>
                <w:sz w:val="22"/>
                <w:szCs w:val="22"/>
                <w:lang w:val="pt-BR"/>
              </w:rPr>
              <w:t>.</w:t>
            </w:r>
          </w:p>
          <w:p w14:paraId="7E576323" w14:textId="77777777" w:rsidR="00650B6B" w:rsidRPr="00973196" w:rsidRDefault="00650B6B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</w:p>
        </w:tc>
      </w:tr>
      <w:tr w:rsidR="0041056A" w:rsidRPr="00512BD6" w14:paraId="0E1147C8" w14:textId="77777777" w:rsidTr="00961DB5">
        <w:tc>
          <w:tcPr>
            <w:tcW w:w="766" w:type="pct"/>
            <w:shd w:val="clear" w:color="auto" w:fill="auto"/>
          </w:tcPr>
          <w:p w14:paraId="368ACEA5" w14:textId="2BF9FE8D" w:rsidR="0041056A" w:rsidRPr="006B34C0" w:rsidRDefault="0041056A" w:rsidP="00961DB5">
            <w:pPr>
              <w:spacing w:line="276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6B34C0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br w:type="page"/>
            </w:r>
            <w:bookmarkStart w:id="137" w:name="_Toc125971552"/>
            <w:bookmarkStart w:id="138" w:name="_Toc126746449"/>
            <w:bookmarkStart w:id="139" w:name="_Toc126746598"/>
            <w:bookmarkStart w:id="140" w:name="_Toc126750610"/>
            <w:r w:rsidR="00D614B3" w:rsidRPr="006B34C0">
              <w:rPr>
                <w:rStyle w:val="Ttulo2Char"/>
                <w:rFonts w:ascii="Calibri" w:hAnsi="Calibri" w:cs="Calibri"/>
                <w:bCs w:val="0"/>
                <w:sz w:val="22"/>
                <w:szCs w:val="22"/>
              </w:rPr>
              <w:t>VITAMINA K1</w:t>
            </w:r>
            <w:bookmarkEnd w:id="137"/>
            <w:bookmarkEnd w:id="138"/>
            <w:bookmarkEnd w:id="139"/>
            <w:bookmarkEnd w:id="140"/>
            <w:r w:rsidR="00D614B3" w:rsidRPr="006B34C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B34C0">
              <w:rPr>
                <w:rFonts w:ascii="Calibri" w:hAnsi="Calibri" w:cs="Calibri"/>
                <w:b/>
                <w:sz w:val="22"/>
                <w:szCs w:val="22"/>
              </w:rPr>
              <w:t>(Fitomenadiona), inj.</w:t>
            </w:r>
          </w:p>
        </w:tc>
        <w:tc>
          <w:tcPr>
            <w:tcW w:w="1039" w:type="pct"/>
            <w:shd w:val="clear" w:color="auto" w:fill="auto"/>
          </w:tcPr>
          <w:p w14:paraId="06265268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u w:val="single"/>
                <w:lang w:val="pt-BR"/>
              </w:rPr>
              <w:t>Anticoagulantes warfarínicos de 1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u w:val="single"/>
                <w:vertAlign w:val="superscript"/>
                <w:lang w:val="pt-BR"/>
              </w:rPr>
              <w:t>a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u w:val="single"/>
                <w:lang w:val="pt-BR"/>
              </w:rPr>
              <w:t xml:space="preserve"> geração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(ex: warfarina e bromadiolona), e 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u w:val="single"/>
                <w:lang w:val="pt-BR"/>
              </w:rPr>
              <w:t>anticoagulantes warfarínicos de ação prolongada</w:t>
            </w: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(2ª geração, superwarfarínicos) utilizados como raticidas de uso legal (exs: </w:t>
            </w:r>
          </w:p>
          <w:p w14:paraId="073417AE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 xml:space="preserve"> brodifacum e difenacum)</w:t>
            </w:r>
          </w:p>
        </w:tc>
        <w:tc>
          <w:tcPr>
            <w:tcW w:w="2336" w:type="pct"/>
          </w:tcPr>
          <w:p w14:paraId="747D3504" w14:textId="77777777" w:rsidR="0041056A" w:rsidRPr="00A05FB6" w:rsidRDefault="0041056A" w:rsidP="00961DB5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A vitamina K é uma vitamina lipossolúvel n</w:t>
            </w:r>
            <w:r w:rsidRPr="00A05FB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ecessária para a formação dos fatores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de coagulação </w:t>
            </w:r>
            <w:r w:rsidRPr="00A05FB6">
              <w:rPr>
                <w:rFonts w:ascii="Calibri" w:hAnsi="Calibri"/>
                <w:b/>
                <w:sz w:val="22"/>
                <w:szCs w:val="22"/>
                <w:lang w:val="pt-BR"/>
              </w:rPr>
              <w:t>II,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Pr="00A05FB6">
              <w:rPr>
                <w:rFonts w:ascii="Calibri" w:hAnsi="Calibri"/>
                <w:b/>
                <w:sz w:val="22"/>
                <w:szCs w:val="22"/>
                <w:lang w:val="pt-BR"/>
              </w:rPr>
              <w:t>VII, IX e X (via extrínseca) e da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s</w:t>
            </w:r>
            <w:r w:rsidRPr="00A05FB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proteína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s</w:t>
            </w:r>
            <w:r w:rsidRPr="00A05FB6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C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, S e Z.</w:t>
            </w:r>
          </w:p>
          <w:p w14:paraId="0267CD3F" w14:textId="77777777" w:rsidR="0041056A" w:rsidRPr="00EA55B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EA55B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Os anticoagulantes warfarínicos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de 1ª e 2ª geração (ação prolongada) i</w:t>
            </w:r>
            <w:r w:rsidRPr="00EA55BA">
              <w:rPr>
                <w:rFonts w:ascii="Calibri" w:hAnsi="Calibri"/>
                <w:b/>
                <w:sz w:val="22"/>
                <w:szCs w:val="22"/>
                <w:lang w:val="pt-BR"/>
              </w:rPr>
              <w:t>nterferem no ciclo da vitamina K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, </w:t>
            </w:r>
            <w:r w:rsidRPr="00EA55BA">
              <w:rPr>
                <w:rFonts w:ascii="Calibri" w:hAnsi="Calibri"/>
                <w:b/>
                <w:sz w:val="22"/>
                <w:szCs w:val="22"/>
                <w:lang w:val="pt-BR"/>
              </w:rPr>
              <w:t>inib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indo </w:t>
            </w:r>
            <w:r w:rsidRPr="00EA55B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as enzimas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epóxi-</w:t>
            </w:r>
            <w:r w:rsidRPr="00EA55BA">
              <w:rPr>
                <w:rFonts w:ascii="Calibri" w:hAnsi="Calibri"/>
                <w:b/>
                <w:sz w:val="22"/>
                <w:szCs w:val="22"/>
                <w:lang w:val="pt-BR"/>
              </w:rPr>
              <w:t>redutase e quinona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-</w:t>
            </w:r>
            <w:r w:rsidRPr="00EA55BA">
              <w:rPr>
                <w:rFonts w:ascii="Calibri" w:hAnsi="Calibri"/>
                <w:b/>
                <w:sz w:val="22"/>
                <w:szCs w:val="22"/>
                <w:lang w:val="pt-BR"/>
              </w:rPr>
              <w:t>redutase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, determinando o acúmulo de vitamina </w:t>
            </w:r>
            <w:r w:rsidRPr="00EA55BA">
              <w:rPr>
                <w:rFonts w:ascii="Calibri" w:hAnsi="Calibri"/>
                <w:b/>
                <w:sz w:val="22"/>
                <w:szCs w:val="22"/>
                <w:lang w:val="pt-BR"/>
              </w:rPr>
              <w:t>K 2,3-epóxid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o</w:t>
            </w:r>
            <w:r w:rsidRPr="00EA55BA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, um metabólito inativo. </w:t>
            </w:r>
          </w:p>
          <w:p w14:paraId="6339A7DA" w14:textId="77777777" w:rsidR="0041056A" w:rsidRPr="00EA55B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14:paraId="35E9385B" w14:textId="77777777" w:rsidR="0041056A" w:rsidRPr="00D85553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</w:pPr>
            <w:r w:rsidRPr="00D8555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INDICAÇÕES DE USO DA VITAMINA K1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(FITOMENADIONA)</w:t>
            </w:r>
            <w:r w:rsidRPr="00D8555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 xml:space="preserve"> E DO COMPLEXO PROTROMBÍNICO NAS INTOXICAÇÕES POR WARFARÍNICOS E SUPERWARFARÍNICOS</w:t>
            </w:r>
          </w:p>
          <w:p w14:paraId="4F23C397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Uso crônico de warfarina como anticoagulante ou superdose de warfarina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2A134B1A" w14:textId="77777777" w:rsidR="0041056A" w:rsidRPr="007937DE" w:rsidRDefault="0041056A" w:rsidP="00961DB5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RNI &lt; 4,5, sem sangramento importante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suspender a próxima dose de warfarina.</w:t>
            </w:r>
          </w:p>
          <w:p w14:paraId="4134F6B8" w14:textId="77777777" w:rsidR="0041056A" w:rsidRPr="007937DE" w:rsidRDefault="0041056A" w:rsidP="00961DB5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RNI 4,5-10, sem sangramento importante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: suspender a próxima ou próximas 2 doses de warfarina.</w:t>
            </w:r>
          </w:p>
          <w:p w14:paraId="27E9B541" w14:textId="77777777" w:rsidR="0041056A" w:rsidRPr="007937DE" w:rsidRDefault="0041056A" w:rsidP="00961DB5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RNI &gt; 10, </w:t>
            </w: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sem sangramento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administrar vitamina K1 por VO (1-2,5 mg). 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Se for necessária uma reversão mais rápida administrar 5 mg de vitamina K1 VO.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Doses adicionais de vitamina K1 (1-2 mg) podem ser eventualmente necessárias.</w:t>
            </w:r>
          </w:p>
          <w:p w14:paraId="4BDB523C" w14:textId="77777777" w:rsidR="0041056A" w:rsidRPr="007937DE" w:rsidRDefault="0041056A" w:rsidP="00961DB5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Sangramento grave ou ameaçador à vida com qualquer valor de RNI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Suspender a warfarina, administrar 25-50 U/kg de </w:t>
            </w:r>
            <w:r w:rsidRPr="00612DE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concentrado de complexo protrombínico de 4 fatores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(CCP4; contém fatores II, VII, IX e X), e vitamina K1 IV (5-10 mg) em infusão lenta. Frequentemente há necessidade de repetir a vitamina K1 a cada 12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h. </w:t>
            </w:r>
            <w:r w:rsidRPr="00612DE3">
              <w:rPr>
                <w:rFonts w:ascii="Calibri" w:hAnsi="Calibri"/>
                <w:b/>
                <w:color w:val="C00000"/>
                <w:sz w:val="22"/>
                <w:szCs w:val="22"/>
                <w:lang w:val="pt-BR"/>
              </w:rPr>
              <w:t>Caso o CCP4 não esteja disponível pode ser usado plasma fresco congelado (15 ml/kg).</w:t>
            </w:r>
          </w:p>
          <w:p w14:paraId="37EE968C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</w:p>
          <w:p w14:paraId="57124F07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Exposições tóxicas a anticoagulantes de ação prolongada (superwarfarínicos)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: </w:t>
            </w:r>
          </w:p>
          <w:p w14:paraId="746E9509" w14:textId="77777777" w:rsidR="0041056A" w:rsidRPr="007937DE" w:rsidRDefault="0041056A" w:rsidP="00961DB5">
            <w:pPr>
              <w:numPr>
                <w:ilvl w:val="0"/>
                <w:numId w:val="1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Não deve ser administrada vitamina K1 profilática.</w:t>
            </w:r>
          </w:p>
          <w:p w14:paraId="51585DC6" w14:textId="77777777" w:rsidR="0041056A" w:rsidRPr="007937DE" w:rsidRDefault="0041056A" w:rsidP="00961DB5">
            <w:pPr>
              <w:numPr>
                <w:ilvl w:val="0"/>
                <w:numId w:val="1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i/>
                <w:iCs/>
                <w:color w:val="C00000"/>
                <w:sz w:val="22"/>
                <w:szCs w:val="22"/>
                <w:lang w:val="pt-BR"/>
              </w:rPr>
              <w:t>O risco de coagulopatia/sangramento é muito baixo em ingestões acidentais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.</w:t>
            </w:r>
          </w:p>
          <w:p w14:paraId="46125729" w14:textId="77777777" w:rsidR="0041056A" w:rsidRPr="007937DE" w:rsidRDefault="0041056A" w:rsidP="00961DB5">
            <w:pPr>
              <w:numPr>
                <w:ilvl w:val="0"/>
                <w:numId w:val="17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Avaliar o RNI 36-48 h após ingestão intencional.</w:t>
            </w:r>
          </w:p>
          <w:p w14:paraId="48A69EC1" w14:textId="77777777" w:rsidR="0041056A" w:rsidRPr="007937DE" w:rsidRDefault="0041056A" w:rsidP="00961DB5">
            <w:pPr>
              <w:numPr>
                <w:ilvl w:val="0"/>
                <w:numId w:val="1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Se RNI &gt; 2 iniciar 25-50 mg de vitamina K1 3-4 vezes ao dia por 1 a 2 dias. A dose de vitamina K1 deve ser ajustada de acordo com a evolução do RNI.</w:t>
            </w:r>
          </w:p>
          <w:p w14:paraId="3B252A4E" w14:textId="77777777" w:rsidR="0041056A" w:rsidRPr="00924093" w:rsidRDefault="0041056A" w:rsidP="00961DB5">
            <w:pPr>
              <w:numPr>
                <w:ilvl w:val="0"/>
                <w:numId w:val="17"/>
              </w:numPr>
              <w:spacing w:line="276" w:lineRule="auto"/>
              <w:jc w:val="left"/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</w:pPr>
            <w:r w:rsidRPr="00924093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Tendo em vista a prolongada vida-média (ex., brodifacum: t</w:t>
            </w:r>
            <w:r w:rsidRPr="00924093">
              <w:rPr>
                <w:rFonts w:ascii="Calibri" w:hAnsi="Calibri"/>
                <w:b/>
                <w:bCs/>
                <w:sz w:val="22"/>
                <w:szCs w:val="22"/>
                <w:vertAlign w:val="subscript"/>
                <w:lang w:val="pt-BR"/>
              </w:rPr>
              <w:t>1/2</w:t>
            </w:r>
            <w:r w:rsidRPr="00924093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 xml:space="preserve"> sérica =</w:t>
            </w:r>
            <w:r w:rsidRPr="00924093">
              <w:rPr>
                <w:rFonts w:ascii="Calibri" w:hAnsi="Calibri"/>
                <w:b/>
                <w:bCs/>
                <w:sz w:val="22"/>
                <w:szCs w:val="22"/>
                <w:vertAlign w:val="subscript"/>
                <w:lang w:val="pt-BR"/>
              </w:rPr>
              <w:t xml:space="preserve"> </w:t>
            </w:r>
            <w:r w:rsidRPr="00924093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~90 dias), pacientes que desenvolvem coagulopatia após ingestão massiva podem necessitar de altas doses de vitamina K1 por VO por semanas ou meses.</w:t>
            </w:r>
          </w:p>
          <w:p w14:paraId="1BD4C429" w14:textId="77777777" w:rsidR="0041056A" w:rsidRPr="007937DE" w:rsidRDefault="0041056A" w:rsidP="00961DB5">
            <w:pPr>
              <w:numPr>
                <w:ilvl w:val="0"/>
                <w:numId w:val="17"/>
              </w:num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>O RNI deve ser monitorado diariamente por até 2 semanas após suspensão do tratamento para assegurar que não ocorreu recorrência da coagulopatia.</w:t>
            </w:r>
          </w:p>
        </w:tc>
        <w:tc>
          <w:tcPr>
            <w:tcW w:w="859" w:type="pct"/>
          </w:tcPr>
          <w:p w14:paraId="4C7619DB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2436BB">
              <w:rPr>
                <w:rFonts w:ascii="Calibri" w:hAnsi="Calibri"/>
                <w:b/>
                <w:bCs/>
                <w:sz w:val="22"/>
                <w:szCs w:val="22"/>
                <w:u w:val="single"/>
                <w:lang w:val="pt-BR"/>
              </w:rPr>
              <w:t>Apresentação:</w:t>
            </w: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Ampolas de 1 ml contendo 10 mg/ml de fitomenadiona.</w:t>
            </w:r>
          </w:p>
          <w:p w14:paraId="69CAD2E7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  <w:p w14:paraId="2509DAC9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i/>
                <w:color w:val="C00000"/>
                <w:sz w:val="22"/>
                <w:szCs w:val="22"/>
                <w:u w:val="single"/>
                <w:lang w:val="pt-BR"/>
              </w:rPr>
            </w:pPr>
            <w:r w:rsidRPr="007937DE">
              <w:rPr>
                <w:rFonts w:ascii="Calibri" w:hAnsi="Calibri"/>
                <w:b/>
                <w:i/>
                <w:color w:val="C00000"/>
                <w:sz w:val="22"/>
                <w:szCs w:val="22"/>
                <w:lang w:val="pt-BR"/>
              </w:rPr>
              <w:t>Embora não estejam disponíveis no Brasil apresentações de vitamina K1 para uso oral em humanos, a apresentação injetável também pode ser administrada por VO.</w:t>
            </w:r>
          </w:p>
          <w:p w14:paraId="061B15F5" w14:textId="77777777" w:rsidR="0041056A" w:rsidRPr="007937DE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58260FAD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7937DE"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  <w:t>Estoque mínimo: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2</w:t>
            </w:r>
            <w:r w:rsidRPr="007937DE">
              <w:rPr>
                <w:rFonts w:ascii="Calibri" w:hAnsi="Calibri"/>
                <w:b/>
                <w:sz w:val="22"/>
                <w:szCs w:val="22"/>
                <w:lang w:val="pt-BR"/>
              </w:rPr>
              <w:t>0 ampolas.</w:t>
            </w:r>
          </w:p>
          <w:p w14:paraId="4734381D" w14:textId="77777777" w:rsidR="0041056A" w:rsidRDefault="0041056A" w:rsidP="00961DB5">
            <w:pPr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  <w:u w:val="single"/>
                <w:lang w:val="pt-BR"/>
              </w:rPr>
            </w:pPr>
          </w:p>
          <w:p w14:paraId="3AF6185C" w14:textId="77777777" w:rsidR="0041056A" w:rsidRPr="007937DE" w:rsidRDefault="0041056A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  <w:u w:val="single"/>
                <w:lang w:val="pt-BR"/>
              </w:rPr>
            </w:pPr>
          </w:p>
        </w:tc>
      </w:tr>
    </w:tbl>
    <w:p w14:paraId="47FB8CA3" w14:textId="77777777" w:rsidR="00BA7DA0" w:rsidRPr="008C06F0" w:rsidRDefault="00BA7DA0" w:rsidP="00663187">
      <w:pPr>
        <w:rPr>
          <w:rStyle w:val="Ttulo2Char"/>
          <w:rFonts w:ascii="Calibri" w:hAnsi="Calibri" w:cs="Calibri"/>
          <w:bCs w:val="0"/>
          <w:sz w:val="32"/>
          <w:szCs w:val="32"/>
          <w:lang w:val="pt-BR"/>
        </w:rPr>
      </w:pPr>
    </w:p>
    <w:p w14:paraId="229F67D8" w14:textId="77777777" w:rsidR="00AC2ABC" w:rsidRDefault="00AC2ABC" w:rsidP="00BA7DA0">
      <w:pPr>
        <w:spacing w:line="276" w:lineRule="auto"/>
        <w:rPr>
          <w:rStyle w:val="Ttulo2Char"/>
          <w:rFonts w:ascii="Calibri" w:hAnsi="Calibri" w:cs="Calibri"/>
          <w:bCs w:val="0"/>
          <w:sz w:val="32"/>
          <w:szCs w:val="32"/>
        </w:rPr>
      </w:pPr>
      <w:bookmarkStart w:id="141" w:name="_Toc125971553"/>
      <w:bookmarkStart w:id="142" w:name="_Toc126746450"/>
      <w:bookmarkStart w:id="143" w:name="_Toc126746599"/>
      <w:bookmarkStart w:id="144" w:name="_Toc126750611"/>
    </w:p>
    <w:p w14:paraId="42F670BB" w14:textId="77777777" w:rsidR="00ED741D" w:rsidRDefault="00ED741D" w:rsidP="00BA7DA0">
      <w:pPr>
        <w:spacing w:line="276" w:lineRule="auto"/>
        <w:rPr>
          <w:rStyle w:val="Ttulo2Char"/>
          <w:rFonts w:ascii="Calibri" w:hAnsi="Calibri" w:cs="Calibri"/>
          <w:bCs w:val="0"/>
          <w:sz w:val="32"/>
          <w:szCs w:val="32"/>
          <w:lang w:val="pt-BR"/>
        </w:rPr>
      </w:pPr>
      <w:r w:rsidRPr="00ED741D">
        <w:rPr>
          <w:rStyle w:val="Ttulo2Char"/>
          <w:rFonts w:ascii="Calibri" w:hAnsi="Calibri" w:cs="Calibri"/>
          <w:bCs w:val="0"/>
          <w:sz w:val="32"/>
          <w:szCs w:val="32"/>
          <w:lang w:val="pt-BR"/>
        </w:rPr>
        <w:br/>
      </w:r>
    </w:p>
    <w:p w14:paraId="2036FA7D" w14:textId="77777777" w:rsidR="00ED741D" w:rsidRDefault="00ED741D" w:rsidP="00BA7DA0">
      <w:pPr>
        <w:spacing w:line="276" w:lineRule="auto"/>
        <w:rPr>
          <w:rStyle w:val="Ttulo2Char"/>
          <w:rFonts w:ascii="Calibri" w:hAnsi="Calibri" w:cs="Calibri"/>
          <w:bCs w:val="0"/>
          <w:sz w:val="32"/>
          <w:szCs w:val="32"/>
          <w:lang w:val="pt-BR"/>
        </w:rPr>
      </w:pPr>
    </w:p>
    <w:p w14:paraId="783458A3" w14:textId="77777777" w:rsidR="00ED741D" w:rsidRDefault="00ED741D" w:rsidP="00BA7DA0">
      <w:pPr>
        <w:spacing w:line="276" w:lineRule="auto"/>
        <w:rPr>
          <w:rStyle w:val="Ttulo2Char"/>
          <w:rFonts w:ascii="Calibri" w:hAnsi="Calibri" w:cs="Calibri"/>
          <w:bCs w:val="0"/>
          <w:sz w:val="32"/>
          <w:szCs w:val="32"/>
          <w:lang w:val="pt-BR"/>
        </w:rPr>
      </w:pPr>
    </w:p>
    <w:p w14:paraId="0B396426" w14:textId="77777777" w:rsidR="00ED741D" w:rsidRDefault="00ED741D" w:rsidP="00BA7DA0">
      <w:pPr>
        <w:spacing w:line="276" w:lineRule="auto"/>
        <w:rPr>
          <w:rStyle w:val="Ttulo2Char"/>
          <w:rFonts w:ascii="Calibri" w:hAnsi="Calibri" w:cs="Calibri"/>
          <w:bCs w:val="0"/>
          <w:sz w:val="32"/>
          <w:szCs w:val="32"/>
          <w:lang w:val="pt-BR"/>
        </w:rPr>
      </w:pPr>
    </w:p>
    <w:p w14:paraId="184F1FE9" w14:textId="034F9C97" w:rsidR="009E77DD" w:rsidRPr="00CC37DB" w:rsidRDefault="00496119" w:rsidP="00BA7DA0">
      <w:pPr>
        <w:spacing w:line="276" w:lineRule="auto"/>
        <w:rPr>
          <w:rFonts w:ascii="Calibri" w:hAnsi="Calibri"/>
          <w:sz w:val="28"/>
          <w:lang w:val="pt-BR"/>
        </w:rPr>
      </w:pPr>
      <w:r w:rsidRPr="00ED741D">
        <w:rPr>
          <w:rStyle w:val="Ttulo2Char"/>
          <w:rFonts w:ascii="Calibri" w:hAnsi="Calibri" w:cs="Calibri"/>
          <w:bCs w:val="0"/>
          <w:sz w:val="32"/>
          <w:szCs w:val="32"/>
          <w:lang w:val="pt-BR"/>
        </w:rPr>
        <w:t>OBSERVAÇÕES</w:t>
      </w:r>
      <w:bookmarkEnd w:id="141"/>
      <w:bookmarkEnd w:id="142"/>
      <w:bookmarkEnd w:id="143"/>
      <w:bookmarkEnd w:id="144"/>
      <w:r w:rsidRPr="00CC37DB">
        <w:rPr>
          <w:rFonts w:ascii="Calibri" w:hAnsi="Calibri"/>
          <w:sz w:val="28"/>
          <w:lang w:val="pt-BR"/>
        </w:rPr>
        <w:t>:</w:t>
      </w:r>
      <w:r w:rsidR="00F20D8C" w:rsidRPr="00CC37DB">
        <w:rPr>
          <w:rFonts w:ascii="Calibri" w:hAnsi="Calibri"/>
          <w:sz w:val="28"/>
          <w:lang w:val="pt-BR"/>
        </w:rPr>
        <w:t xml:space="preserve"> </w:t>
      </w:r>
    </w:p>
    <w:p w14:paraId="2E87E731" w14:textId="77777777" w:rsidR="00396441" w:rsidRPr="00EB4428" w:rsidRDefault="00764B3E" w:rsidP="00BA7DA0">
      <w:pPr>
        <w:numPr>
          <w:ilvl w:val="0"/>
          <w:numId w:val="6"/>
        </w:numPr>
        <w:spacing w:line="276" w:lineRule="auto"/>
        <w:rPr>
          <w:rFonts w:ascii="Calibri" w:hAnsi="Calibri"/>
          <w:b/>
          <w:lang w:val="pt-BR"/>
        </w:rPr>
      </w:pPr>
      <w:r w:rsidRPr="00EB4428">
        <w:rPr>
          <w:rFonts w:ascii="Calibri" w:hAnsi="Calibri"/>
          <w:b/>
          <w:lang w:val="pt-BR"/>
        </w:rPr>
        <w:t>De acordo com a Portaria SAS 1115</w:t>
      </w:r>
      <w:r w:rsidR="00BA7DA0">
        <w:rPr>
          <w:rFonts w:ascii="Calibri" w:hAnsi="Calibri"/>
          <w:b/>
          <w:lang w:val="pt-BR"/>
        </w:rPr>
        <w:t xml:space="preserve"> (2015)</w:t>
      </w:r>
      <w:r w:rsidRPr="00EB4428">
        <w:rPr>
          <w:rFonts w:ascii="Calibri" w:hAnsi="Calibri"/>
          <w:b/>
          <w:lang w:val="pt-BR"/>
        </w:rPr>
        <w:t xml:space="preserve">, o Ministério da Saúde </w:t>
      </w:r>
      <w:r w:rsidR="009E77DD" w:rsidRPr="00EB4428">
        <w:rPr>
          <w:rFonts w:ascii="Calibri" w:hAnsi="Calibri"/>
          <w:b/>
          <w:lang w:val="pt-BR"/>
        </w:rPr>
        <w:t>deverá</w:t>
      </w:r>
      <w:r w:rsidR="00884981" w:rsidRPr="00EB4428">
        <w:rPr>
          <w:rFonts w:ascii="Calibri" w:hAnsi="Calibri"/>
          <w:b/>
          <w:lang w:val="pt-BR"/>
        </w:rPr>
        <w:t xml:space="preserve"> </w:t>
      </w:r>
      <w:r w:rsidRPr="00EB4428">
        <w:rPr>
          <w:rFonts w:ascii="Calibri" w:hAnsi="Calibri"/>
          <w:b/>
          <w:lang w:val="pt-BR"/>
        </w:rPr>
        <w:t>distribuir a hidrox</w:t>
      </w:r>
      <w:r w:rsidR="00FD21BA" w:rsidRPr="00EB4428">
        <w:rPr>
          <w:rFonts w:ascii="Calibri" w:hAnsi="Calibri"/>
          <w:b/>
          <w:lang w:val="pt-BR"/>
        </w:rPr>
        <w:t>i</w:t>
      </w:r>
      <w:r w:rsidRPr="00EB4428">
        <w:rPr>
          <w:rFonts w:ascii="Calibri" w:hAnsi="Calibri"/>
          <w:b/>
          <w:lang w:val="pt-BR"/>
        </w:rPr>
        <w:t xml:space="preserve">cobalamina a todos os estados brasileiros e Distrito Federal. A disponibilidade e quantitativos seguirão os critérios técnicos específicos estabelecidos pelo Departamento de Assistência Farmacêutica e Insumos Estratégicos – DAF/SCTIE/MS e o Departamento de Atenção Hospitalar e Urgência – DAHU/SAS/MS. </w:t>
      </w:r>
    </w:p>
    <w:p w14:paraId="2EBD0976" w14:textId="77777777" w:rsidR="00764B3E" w:rsidRPr="005A5366" w:rsidRDefault="00764B3E" w:rsidP="00BA7DA0">
      <w:pPr>
        <w:numPr>
          <w:ilvl w:val="0"/>
          <w:numId w:val="6"/>
        </w:numPr>
        <w:spacing w:line="276" w:lineRule="auto"/>
        <w:rPr>
          <w:rFonts w:ascii="Calibri" w:hAnsi="Calibri"/>
          <w:lang w:val="pt-BR"/>
        </w:rPr>
      </w:pPr>
      <w:r w:rsidRPr="005A5366">
        <w:rPr>
          <w:rFonts w:ascii="Calibri" w:hAnsi="Calibri"/>
          <w:lang w:val="pt-BR"/>
        </w:rPr>
        <w:t>A gestão do medicamento é de responsabilidade da Assistência Farmacêutica (AF) das Secretarias Estaduais de Saúde (SES), e será armazenado nas Centrais de Abastecimento Farmacêutico (CAF) até ocorrer a sua disponibilização aos seguintes serviços/unidades de saúde:</w:t>
      </w:r>
    </w:p>
    <w:p w14:paraId="2520B25C" w14:textId="77777777" w:rsidR="00764B3E" w:rsidRPr="005A5366" w:rsidRDefault="00764B3E" w:rsidP="00BA7DA0">
      <w:pPr>
        <w:spacing w:line="276" w:lineRule="auto"/>
        <w:rPr>
          <w:rFonts w:ascii="Calibri" w:hAnsi="Calibri"/>
          <w:lang w:val="pt-BR"/>
        </w:rPr>
      </w:pPr>
      <w:r w:rsidRPr="005A5366">
        <w:rPr>
          <w:rFonts w:ascii="Calibri" w:hAnsi="Calibri"/>
          <w:lang w:val="pt-BR"/>
        </w:rPr>
        <w:t xml:space="preserve">- </w:t>
      </w:r>
      <w:r w:rsidRPr="00D965C2">
        <w:rPr>
          <w:rFonts w:ascii="Calibri" w:hAnsi="Calibri"/>
          <w:b/>
          <w:color w:val="C00000"/>
          <w:lang w:val="pt-BR"/>
        </w:rPr>
        <w:t>Serviços de Atendimento Móvel de Urgência (SAMU 192) com Unidades de Suporte Avançado (USA), com estoque proporcional à sua população de abrangência</w:t>
      </w:r>
      <w:r w:rsidRPr="00D965C2">
        <w:rPr>
          <w:rFonts w:ascii="Calibri" w:hAnsi="Calibri"/>
          <w:color w:val="C00000"/>
          <w:lang w:val="pt-BR"/>
        </w:rPr>
        <w:t>;</w:t>
      </w:r>
    </w:p>
    <w:p w14:paraId="726739A0" w14:textId="77777777" w:rsidR="00764B3E" w:rsidRPr="005A5366" w:rsidRDefault="00764B3E" w:rsidP="00BA7DA0">
      <w:pPr>
        <w:spacing w:line="276" w:lineRule="auto"/>
        <w:rPr>
          <w:rFonts w:ascii="Calibri" w:hAnsi="Calibri"/>
          <w:lang w:val="pt-BR"/>
        </w:rPr>
      </w:pPr>
      <w:r w:rsidRPr="005A5366">
        <w:rPr>
          <w:rFonts w:ascii="Calibri" w:hAnsi="Calibri"/>
          <w:lang w:val="pt-BR"/>
        </w:rPr>
        <w:t>-</w:t>
      </w:r>
      <w:r w:rsidRPr="00B35330">
        <w:rPr>
          <w:rFonts w:ascii="Calibri" w:hAnsi="Calibri"/>
          <w:b/>
          <w:bCs/>
          <w:lang w:val="pt-BR"/>
        </w:rPr>
        <w:t xml:space="preserve"> Hospitais públicos com pronto-atendimento, proporcional à sua população de abrangência, levando em consideração a seguinte priorização</w:t>
      </w:r>
      <w:r w:rsidRPr="005A5366">
        <w:rPr>
          <w:rFonts w:ascii="Calibri" w:hAnsi="Calibri"/>
          <w:lang w:val="pt-BR"/>
        </w:rPr>
        <w:t>:</w:t>
      </w:r>
    </w:p>
    <w:p w14:paraId="7D1AB6E4" w14:textId="77777777" w:rsidR="00764B3E" w:rsidRPr="005A5366" w:rsidRDefault="00764B3E" w:rsidP="00BA7DA0">
      <w:pPr>
        <w:spacing w:line="276" w:lineRule="auto"/>
        <w:rPr>
          <w:rFonts w:ascii="Calibri" w:hAnsi="Calibri"/>
          <w:lang w:val="pt-BR"/>
        </w:rPr>
      </w:pPr>
      <w:r w:rsidRPr="005A5366">
        <w:rPr>
          <w:rFonts w:ascii="Calibri" w:hAnsi="Calibri"/>
          <w:lang w:val="pt-BR"/>
        </w:rPr>
        <w:t xml:space="preserve">1- </w:t>
      </w:r>
      <w:r w:rsidR="005A5706">
        <w:rPr>
          <w:rFonts w:ascii="Calibri" w:hAnsi="Calibri"/>
          <w:lang w:val="pt-BR"/>
        </w:rPr>
        <w:t>H</w:t>
      </w:r>
      <w:r w:rsidRPr="005A5366">
        <w:rPr>
          <w:rFonts w:ascii="Calibri" w:hAnsi="Calibri"/>
          <w:lang w:val="pt-BR"/>
        </w:rPr>
        <w:t>ospitais do Programa SOS Emergências com Centro de Toxicologia em funcionamento;</w:t>
      </w:r>
    </w:p>
    <w:p w14:paraId="04E74E21" w14:textId="77777777" w:rsidR="00764B3E" w:rsidRPr="005A5366" w:rsidRDefault="00764B3E" w:rsidP="00BA7DA0">
      <w:pPr>
        <w:spacing w:line="276" w:lineRule="auto"/>
        <w:rPr>
          <w:rFonts w:ascii="Calibri" w:hAnsi="Calibri"/>
          <w:lang w:val="pt-BR"/>
        </w:rPr>
      </w:pPr>
      <w:r w:rsidRPr="005A5366">
        <w:rPr>
          <w:rFonts w:ascii="Calibri" w:hAnsi="Calibri"/>
          <w:lang w:val="pt-BR"/>
        </w:rPr>
        <w:t xml:space="preserve">2- </w:t>
      </w:r>
      <w:r w:rsidR="005A5706">
        <w:rPr>
          <w:rFonts w:ascii="Calibri" w:hAnsi="Calibri"/>
          <w:lang w:val="pt-BR"/>
        </w:rPr>
        <w:t>H</w:t>
      </w:r>
      <w:r w:rsidRPr="005A5366">
        <w:rPr>
          <w:rFonts w:ascii="Calibri" w:hAnsi="Calibri"/>
          <w:lang w:val="pt-BR"/>
        </w:rPr>
        <w:t>ospitais públicos com pronto atendimento e Centros de Toxicologia;</w:t>
      </w:r>
    </w:p>
    <w:p w14:paraId="38AD00DC" w14:textId="77777777" w:rsidR="008A4AB2" w:rsidRPr="005A5366" w:rsidRDefault="00764B3E" w:rsidP="00BA7DA0">
      <w:pPr>
        <w:spacing w:line="276" w:lineRule="auto"/>
        <w:rPr>
          <w:rFonts w:ascii="Calibri" w:hAnsi="Calibri"/>
          <w:lang w:val="pt-BR"/>
        </w:rPr>
      </w:pPr>
      <w:r w:rsidRPr="005A5366">
        <w:rPr>
          <w:rFonts w:ascii="Calibri" w:hAnsi="Calibri"/>
          <w:lang w:val="pt-BR"/>
        </w:rPr>
        <w:t xml:space="preserve">3- </w:t>
      </w:r>
      <w:r w:rsidR="005A5706">
        <w:rPr>
          <w:rFonts w:ascii="Calibri" w:hAnsi="Calibri"/>
          <w:lang w:val="pt-BR"/>
        </w:rPr>
        <w:t>H</w:t>
      </w:r>
      <w:r w:rsidRPr="005A5366">
        <w:rPr>
          <w:rFonts w:ascii="Calibri" w:hAnsi="Calibri"/>
          <w:lang w:val="pt-BR"/>
        </w:rPr>
        <w:t xml:space="preserve">ospitais do programa SOS Emergências com orientações telefônicas pelos Centros de Toxicologia; </w:t>
      </w:r>
    </w:p>
    <w:p w14:paraId="7FE3A06E" w14:textId="07E01DD1" w:rsidR="00430274" w:rsidRPr="00FD21BA" w:rsidRDefault="00764B3E" w:rsidP="00430274">
      <w:pPr>
        <w:spacing w:line="276" w:lineRule="auto"/>
        <w:rPr>
          <w:rFonts w:ascii="Calibri" w:hAnsi="Calibri"/>
          <w:b/>
          <w:lang w:val="pt-BR"/>
        </w:rPr>
      </w:pPr>
      <w:r w:rsidRPr="005A5366">
        <w:rPr>
          <w:rFonts w:ascii="Calibri" w:hAnsi="Calibri"/>
          <w:lang w:val="pt-BR"/>
        </w:rPr>
        <w:t xml:space="preserve">4- </w:t>
      </w:r>
      <w:r w:rsidR="00FD21BA">
        <w:rPr>
          <w:rFonts w:ascii="Calibri" w:hAnsi="Calibri"/>
          <w:lang w:val="pt-BR"/>
        </w:rPr>
        <w:t>D</w:t>
      </w:r>
      <w:r w:rsidRPr="005A5366">
        <w:rPr>
          <w:rFonts w:ascii="Calibri" w:hAnsi="Calibri"/>
          <w:lang w:val="pt-BR"/>
        </w:rPr>
        <w:t>emais Hospitais ou Pronto Atendimentos públicos com orientação telefônica de Centros de Toxicologia.</w:t>
      </w:r>
    </w:p>
    <w:p w14:paraId="32E24FD4" w14:textId="77777777" w:rsidR="00961DB5" w:rsidRDefault="00961DB5" w:rsidP="00430274">
      <w:pPr>
        <w:spacing w:line="276" w:lineRule="auto"/>
        <w:rPr>
          <w:rFonts w:ascii="Calibri" w:hAnsi="Calibri"/>
          <w:b/>
          <w:lang w:val="pt-BR"/>
        </w:rPr>
        <w:sectPr w:rsidR="00961DB5" w:rsidSect="00B54AB2">
          <w:headerReference w:type="even" r:id="rId33"/>
          <w:headerReference w:type="default" r:id="rId34"/>
          <w:headerReference w:type="first" r:id="rId35"/>
          <w:pgSz w:w="1684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5A8EAB86" w14:textId="42F9EBE2" w:rsidR="005A5366" w:rsidRPr="00047B4B" w:rsidRDefault="00961DB5" w:rsidP="00430274">
      <w:pPr>
        <w:spacing w:line="276" w:lineRule="auto"/>
        <w:rPr>
          <w:rStyle w:val="Ttulo2Char"/>
          <w:rFonts w:ascii="Calibri" w:hAnsi="Calibri" w:cs="Calibri"/>
          <w:bCs w:val="0"/>
          <w:sz w:val="32"/>
          <w:szCs w:val="32"/>
        </w:rPr>
      </w:pPr>
      <w:bookmarkStart w:id="145" w:name="_Toc125971554"/>
      <w:bookmarkStart w:id="146" w:name="_Toc126746451"/>
      <w:bookmarkStart w:id="147" w:name="_Toc126746600"/>
      <w:bookmarkStart w:id="148" w:name="_Toc126750612"/>
      <w:r>
        <w:rPr>
          <w:rStyle w:val="Ttulo2Char"/>
          <w:rFonts w:ascii="Calibri" w:hAnsi="Calibri" w:cs="Calibri"/>
          <w:bCs w:val="0"/>
          <w:sz w:val="32"/>
          <w:szCs w:val="32"/>
        </w:rPr>
        <w:t>R</w:t>
      </w:r>
      <w:r w:rsidR="00496119" w:rsidRPr="00047B4B">
        <w:rPr>
          <w:rStyle w:val="Ttulo2Char"/>
          <w:rFonts w:ascii="Calibri" w:hAnsi="Calibri" w:cs="Calibri"/>
          <w:bCs w:val="0"/>
          <w:sz w:val="32"/>
          <w:szCs w:val="32"/>
        </w:rPr>
        <w:t>EFERÊNCIAS</w:t>
      </w:r>
      <w:bookmarkEnd w:id="145"/>
      <w:bookmarkEnd w:id="146"/>
      <w:bookmarkEnd w:id="147"/>
      <w:bookmarkEnd w:id="148"/>
    </w:p>
    <w:p w14:paraId="2E570E6B" w14:textId="77777777" w:rsidR="00F154AB" w:rsidRPr="00A8687E" w:rsidRDefault="00F154AB" w:rsidP="00430274">
      <w:pPr>
        <w:numPr>
          <w:ilvl w:val="0"/>
          <w:numId w:val="5"/>
        </w:numPr>
        <w:spacing w:line="276" w:lineRule="auto"/>
        <w:rPr>
          <w:rStyle w:val="red"/>
          <w:rFonts w:ascii="Calibri" w:hAnsi="Calibri"/>
        </w:rPr>
      </w:pPr>
      <w:r w:rsidRPr="00A8687E">
        <w:rPr>
          <w:rStyle w:val="red"/>
          <w:rFonts w:ascii="Calibri" w:hAnsi="Calibri"/>
          <w:lang w:val="pt-BR"/>
        </w:rPr>
        <w:t xml:space="preserve">Galvão TF, Bucaretchi F, De Capitani EM, et al. </w:t>
      </w:r>
      <w:r w:rsidRPr="00A8687E">
        <w:rPr>
          <w:rStyle w:val="red"/>
          <w:rFonts w:ascii="Calibri" w:hAnsi="Calibri"/>
        </w:rPr>
        <w:t>Antidotes and medicines used to treat poisoning in Brazil: needs, availability and opportunities. Cad Saude Publica. 2013;29 Suppl 1:S167-77.</w:t>
      </w:r>
    </w:p>
    <w:p w14:paraId="5CD0F76F" w14:textId="77777777" w:rsidR="005F1137" w:rsidRPr="00A8687E" w:rsidRDefault="005F1137" w:rsidP="00430274">
      <w:pPr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A8687E">
        <w:rPr>
          <w:rFonts w:ascii="Calibri" w:hAnsi="Calibri"/>
          <w:lang w:val="pt-BR"/>
        </w:rPr>
        <w:t xml:space="preserve">Rodrigues Fernandes LC, Galvão TF, Toledo Ricardi AS, et al. </w:t>
      </w:r>
      <w:r w:rsidRPr="00A8687E">
        <w:rPr>
          <w:rFonts w:ascii="Calibri" w:hAnsi="Calibri"/>
        </w:rPr>
        <w:t xml:space="preserve">Antidote availability in the municipality of Campinas, São Paulo, Brazil. </w:t>
      </w:r>
      <w:r w:rsidRPr="00A8687E">
        <w:rPr>
          <w:rFonts w:ascii="Calibri" w:hAnsi="Calibri"/>
          <w:lang w:val="pt-BR"/>
        </w:rPr>
        <w:t>Sao Paulo Med J. 2017;135(1):15-22.</w:t>
      </w:r>
    </w:p>
    <w:p w14:paraId="57B151FD" w14:textId="77777777" w:rsidR="005F1137" w:rsidRPr="005A5366" w:rsidRDefault="005F1137" w:rsidP="00430274">
      <w:pPr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5A5366">
        <w:rPr>
          <w:rStyle w:val="red"/>
          <w:rFonts w:ascii="Calibri" w:hAnsi="Calibri"/>
        </w:rPr>
        <w:t>TOXBASE</w:t>
      </w:r>
      <w:r w:rsidRPr="005A5366">
        <w:rPr>
          <w:rStyle w:val="red"/>
          <w:rFonts w:ascii="Calibri" w:hAnsi="Calibri"/>
          <w:vertAlign w:val="superscript"/>
        </w:rPr>
        <w:t>®</w:t>
      </w:r>
      <w:r w:rsidRPr="005A5366">
        <w:rPr>
          <w:rStyle w:val="red"/>
          <w:rFonts w:ascii="Calibri" w:hAnsi="Calibri"/>
        </w:rPr>
        <w:t>. The primary c</w:t>
      </w:r>
      <w:r w:rsidRPr="005A5366">
        <w:rPr>
          <w:rFonts w:ascii="Calibri" w:hAnsi="Calibri"/>
        </w:rPr>
        <w:t>linical toxicology database of the National Poisons Information Service. Disponível</w:t>
      </w:r>
      <w:r w:rsidR="005A5366" w:rsidRPr="005A5366">
        <w:rPr>
          <w:rFonts w:ascii="Calibri" w:hAnsi="Calibri"/>
        </w:rPr>
        <w:t xml:space="preserve"> (</w:t>
      </w:r>
      <w:r w:rsidRPr="005A5366">
        <w:rPr>
          <w:rFonts w:ascii="Calibri" w:hAnsi="Calibri"/>
        </w:rPr>
        <w:t>com senha</w:t>
      </w:r>
      <w:r w:rsidR="005A5366" w:rsidRPr="005A5366">
        <w:rPr>
          <w:rFonts w:ascii="Calibri" w:hAnsi="Calibri"/>
        </w:rPr>
        <w:t>)</w:t>
      </w:r>
      <w:r w:rsidRPr="005A5366">
        <w:rPr>
          <w:rFonts w:ascii="Calibri" w:hAnsi="Calibri"/>
        </w:rPr>
        <w:t xml:space="preserve"> em: </w:t>
      </w:r>
      <w:hyperlink r:id="rId36" w:history="1">
        <w:r w:rsidRPr="005A5366">
          <w:rPr>
            <w:rStyle w:val="Hyperlink"/>
            <w:rFonts w:ascii="Calibri" w:hAnsi="Calibri"/>
          </w:rPr>
          <w:t>https://www.toxbase.org/</w:t>
        </w:r>
      </w:hyperlink>
    </w:p>
    <w:p w14:paraId="48A329A1" w14:textId="77777777" w:rsidR="00D41C3D" w:rsidRPr="005A5366" w:rsidRDefault="00D41C3D" w:rsidP="00430274">
      <w:pPr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5A5366">
        <w:rPr>
          <w:rFonts w:ascii="Calibri" w:hAnsi="Calibri"/>
        </w:rPr>
        <w:t>Nelson LS, Howland MA, Lewin NA, et al., editors. Goldfrank’s Toxicologic Emergencies. 11</w:t>
      </w:r>
      <w:r w:rsidRPr="005A5366">
        <w:rPr>
          <w:rFonts w:ascii="Calibri" w:hAnsi="Calibri"/>
          <w:vertAlign w:val="superscript"/>
        </w:rPr>
        <w:t>th</w:t>
      </w:r>
      <w:r w:rsidRPr="005A5366">
        <w:rPr>
          <w:rFonts w:ascii="Calibri" w:hAnsi="Calibri"/>
        </w:rPr>
        <w:t xml:space="preserve"> ed. New York: McGraw-Hill; 2019.  2070 p. </w:t>
      </w:r>
    </w:p>
    <w:p w14:paraId="3680F3B5" w14:textId="77777777" w:rsidR="00573062" w:rsidRDefault="00573062" w:rsidP="00430274">
      <w:pPr>
        <w:numPr>
          <w:ilvl w:val="0"/>
          <w:numId w:val="5"/>
        </w:numPr>
        <w:spacing w:line="276" w:lineRule="auto"/>
        <w:rPr>
          <w:rFonts w:ascii="Calibri" w:hAnsi="Calibri"/>
          <w:lang w:val="pt-BR"/>
        </w:rPr>
      </w:pPr>
      <w:r w:rsidRPr="00573062">
        <w:rPr>
          <w:rFonts w:ascii="Calibri" w:hAnsi="Calibri"/>
          <w:lang w:val="pt-BR"/>
        </w:rPr>
        <w:t>ACEP Toxicology Antidote App</w:t>
      </w:r>
      <w:r>
        <w:rPr>
          <w:rFonts w:ascii="Calibri" w:hAnsi="Calibri"/>
          <w:lang w:val="pt-BR"/>
        </w:rPr>
        <w:t xml:space="preserve">. Disponível em: </w:t>
      </w:r>
      <w:hyperlink r:id="rId37" w:history="1">
        <w:r w:rsidRPr="008B34AB">
          <w:rPr>
            <w:rStyle w:val="Hyperlink"/>
            <w:rFonts w:ascii="Calibri" w:hAnsi="Calibri"/>
            <w:lang w:val="pt-BR"/>
          </w:rPr>
          <w:t>https://play.google.com/store/apps/details?id=org.acep.tsaa</w:t>
        </w:r>
      </w:hyperlink>
    </w:p>
    <w:p w14:paraId="0C124804" w14:textId="77777777" w:rsidR="00D41C3D" w:rsidRPr="005A5366" w:rsidRDefault="00D41C3D" w:rsidP="00430274">
      <w:pPr>
        <w:numPr>
          <w:ilvl w:val="0"/>
          <w:numId w:val="5"/>
        </w:numPr>
        <w:spacing w:line="276" w:lineRule="auto"/>
        <w:rPr>
          <w:rFonts w:ascii="Calibri" w:hAnsi="Calibri"/>
          <w:lang w:val="pt-BR"/>
        </w:rPr>
      </w:pPr>
      <w:r w:rsidRPr="005A5366">
        <w:rPr>
          <w:rFonts w:ascii="Calibri" w:hAnsi="Calibri"/>
        </w:rPr>
        <w:t xml:space="preserve">Royal College of Emergency Medicine and National Poisons Information Service Guideline on Antidote Availability for Emergency Departments (December 2021) APPENDIX 1: Stocking Guidance. </w:t>
      </w:r>
      <w:r w:rsidRPr="005A5366">
        <w:rPr>
          <w:rFonts w:ascii="Calibri" w:hAnsi="Calibri"/>
          <w:lang w:val="pt-BR"/>
        </w:rPr>
        <w:t xml:space="preserve">Disponível em: </w:t>
      </w:r>
      <w:hyperlink r:id="rId38" w:history="1">
        <w:r w:rsidRPr="005A5366">
          <w:rPr>
            <w:rStyle w:val="Hyperlink"/>
            <w:rFonts w:ascii="Calibri" w:hAnsi="Calibri"/>
            <w:lang w:val="pt-BR"/>
          </w:rPr>
          <w:t>https://rcem.ac.uk/wp-content/uploads/2021/12/RCEM_NPIS_Antidote_Guideline_2021_Appx_1_FINAL_V2.pdf</w:t>
        </w:r>
      </w:hyperlink>
    </w:p>
    <w:p w14:paraId="34616C17" w14:textId="77777777" w:rsidR="00D41C3D" w:rsidRPr="00F4247C" w:rsidRDefault="00D41C3D" w:rsidP="00430274">
      <w:pPr>
        <w:numPr>
          <w:ilvl w:val="0"/>
          <w:numId w:val="5"/>
        </w:numPr>
        <w:spacing w:line="276" w:lineRule="auto"/>
        <w:rPr>
          <w:rFonts w:ascii="Calibri" w:hAnsi="Calibri"/>
          <w:lang w:val="pt-BR"/>
        </w:rPr>
      </w:pPr>
      <w:r w:rsidRPr="00F4247C">
        <w:rPr>
          <w:rFonts w:ascii="Calibri" w:hAnsi="Calibri"/>
        </w:rPr>
        <w:t xml:space="preserve">Dart RC, Goldfrank LR, Erstad BL, et al. Expert Consensus Guidelines for Stocking of Antidotes in Hospitals that provide Emergency Care. </w:t>
      </w:r>
      <w:r w:rsidRPr="00F4247C">
        <w:rPr>
          <w:rFonts w:ascii="Calibri" w:hAnsi="Calibri"/>
          <w:lang w:val="pt-BR"/>
        </w:rPr>
        <w:t>Ann Emerg Med. 2018;71(3):314-325.</w:t>
      </w:r>
      <w:r w:rsidR="00F4247C" w:rsidRPr="00F4247C">
        <w:rPr>
          <w:rFonts w:ascii="Calibri" w:hAnsi="Calibri"/>
          <w:lang w:val="pt-BR"/>
        </w:rPr>
        <w:t xml:space="preserve"> Disponível em: </w:t>
      </w:r>
      <w:hyperlink r:id="rId39" w:history="1">
        <w:r w:rsidR="00F4247C" w:rsidRPr="00F4247C">
          <w:rPr>
            <w:rStyle w:val="Hyperlink"/>
            <w:rFonts w:ascii="Calibri" w:hAnsi="Calibri"/>
            <w:lang w:val="pt-BR"/>
          </w:rPr>
          <w:t>https://www.annemergmed.com/action/showPdf?pii=S0196-0644%2817%2930657-1</w:t>
        </w:r>
      </w:hyperlink>
    </w:p>
    <w:p w14:paraId="187C6F65" w14:textId="77777777" w:rsidR="00A37F15" w:rsidRPr="005A5366" w:rsidRDefault="008A4AB2" w:rsidP="00430274">
      <w:pPr>
        <w:numPr>
          <w:ilvl w:val="0"/>
          <w:numId w:val="5"/>
        </w:numPr>
        <w:spacing w:line="276" w:lineRule="auto"/>
        <w:rPr>
          <w:rFonts w:ascii="Calibri" w:hAnsi="Calibri"/>
          <w:lang w:val="pt-BR"/>
        </w:rPr>
      </w:pPr>
      <w:r w:rsidRPr="005A5366">
        <w:rPr>
          <w:rFonts w:ascii="Calibri" w:hAnsi="Calibri"/>
          <w:lang w:val="pt-BR"/>
        </w:rPr>
        <w:t xml:space="preserve">Instrução Normativa IN 1, 28/02/2014. Lista de medicamentos liberados para importação em caráter excepcional. Disponível em: </w:t>
      </w:r>
      <w:hyperlink r:id="rId40" w:history="1">
        <w:r w:rsidRPr="005A5366">
          <w:rPr>
            <w:rStyle w:val="Hyperlink"/>
            <w:rFonts w:ascii="Calibri" w:hAnsi="Calibri"/>
            <w:lang w:val="pt-BR"/>
          </w:rPr>
          <w:t>http://antigo.anvisa.gov.br/documents/10181/5548146/IN_01_2014_COMP.pdf/6458c7fc-a4b7-4b66-b8d3-7c73e99d9252</w:t>
        </w:r>
      </w:hyperlink>
      <w:r w:rsidR="00A37F15" w:rsidRPr="005A5366">
        <w:rPr>
          <w:rFonts w:ascii="Calibri" w:hAnsi="Calibri"/>
          <w:lang w:val="pt-BR"/>
        </w:rPr>
        <w:t xml:space="preserve"> </w:t>
      </w:r>
    </w:p>
    <w:p w14:paraId="78CA42A4" w14:textId="77777777" w:rsidR="004F16FF" w:rsidRPr="0065211C" w:rsidRDefault="004F16FF" w:rsidP="00430274">
      <w:pPr>
        <w:numPr>
          <w:ilvl w:val="0"/>
          <w:numId w:val="5"/>
        </w:numPr>
        <w:spacing w:line="276" w:lineRule="auto"/>
        <w:rPr>
          <w:rFonts w:ascii="Calibri" w:hAnsi="Calibri"/>
          <w:lang w:val="pt-BR"/>
        </w:rPr>
      </w:pPr>
      <w:r w:rsidRPr="0065211C">
        <w:rPr>
          <w:rFonts w:ascii="Calibri" w:hAnsi="Calibri"/>
          <w:lang w:val="pt-BR"/>
        </w:rPr>
        <w:t xml:space="preserve">Parecer de aprovação </w:t>
      </w:r>
      <w:r w:rsidR="0065211C">
        <w:rPr>
          <w:rFonts w:ascii="Calibri" w:hAnsi="Calibri"/>
          <w:lang w:val="pt-BR"/>
        </w:rPr>
        <w:t>do</w:t>
      </w:r>
      <w:r w:rsidR="00F4247C">
        <w:rPr>
          <w:rFonts w:ascii="Calibri" w:hAnsi="Calibri"/>
          <w:lang w:val="pt-BR"/>
        </w:rPr>
        <w:t xml:space="preserve"> registro do</w:t>
      </w:r>
      <w:r w:rsidR="0065211C">
        <w:rPr>
          <w:rFonts w:ascii="Calibri" w:hAnsi="Calibri"/>
          <w:lang w:val="pt-BR"/>
        </w:rPr>
        <w:t xml:space="preserve"> </w:t>
      </w:r>
      <w:r w:rsidR="0065211C" w:rsidRPr="0065211C">
        <w:rPr>
          <w:rFonts w:ascii="Calibri" w:hAnsi="Calibri"/>
          <w:lang w:val="pt-BR"/>
        </w:rPr>
        <w:t xml:space="preserve">idarucizumab </w:t>
      </w:r>
      <w:r w:rsidR="0065211C">
        <w:rPr>
          <w:rFonts w:ascii="Calibri" w:hAnsi="Calibri"/>
          <w:lang w:val="pt-BR"/>
        </w:rPr>
        <w:t xml:space="preserve">no Brasil pela </w:t>
      </w:r>
      <w:r w:rsidRPr="0065211C">
        <w:rPr>
          <w:rFonts w:ascii="Calibri" w:hAnsi="Calibri"/>
          <w:lang w:val="pt-BR"/>
        </w:rPr>
        <w:t>ANVISA.</w:t>
      </w:r>
      <w:r w:rsidR="0065211C">
        <w:rPr>
          <w:rFonts w:ascii="Calibri" w:hAnsi="Calibri"/>
          <w:lang w:val="pt-BR"/>
        </w:rPr>
        <w:t xml:space="preserve"> D</w:t>
      </w:r>
      <w:r w:rsidRPr="0065211C">
        <w:rPr>
          <w:rFonts w:ascii="Calibri" w:hAnsi="Calibri"/>
          <w:lang w:val="pt-BR"/>
        </w:rPr>
        <w:t xml:space="preserve">isponível em: </w:t>
      </w:r>
      <w:hyperlink r:id="rId41" w:anchor="/pareceres/q/?nomeProduto=PRAXBIND" w:history="1">
        <w:r w:rsidRPr="0065211C">
          <w:rPr>
            <w:rStyle w:val="Hyperlink"/>
            <w:rFonts w:ascii="Calibri" w:hAnsi="Calibri"/>
            <w:lang w:val="pt-BR"/>
          </w:rPr>
          <w:t>https://consultas.anvisa.gov.br/#/pareceres/q/?nomeProduto=PRAXBIND</w:t>
        </w:r>
      </w:hyperlink>
    </w:p>
    <w:p w14:paraId="026B7C54" w14:textId="77777777" w:rsidR="00E25123" w:rsidRPr="00315AC8" w:rsidRDefault="00420922" w:rsidP="00430274">
      <w:pPr>
        <w:numPr>
          <w:ilvl w:val="0"/>
          <w:numId w:val="5"/>
        </w:numPr>
        <w:spacing w:line="276" w:lineRule="auto"/>
        <w:jc w:val="left"/>
        <w:rPr>
          <w:rStyle w:val="Hyperlink"/>
          <w:rFonts w:ascii="Calibri" w:hAnsi="Calibri"/>
          <w:color w:val="auto"/>
          <w:u w:val="none"/>
          <w:lang w:val="pt-BR"/>
        </w:rPr>
      </w:pPr>
      <w:r w:rsidRPr="004B38C0">
        <w:rPr>
          <w:rFonts w:ascii="Calibri" w:hAnsi="Calibri"/>
          <w:lang w:val="pt-BR"/>
        </w:rPr>
        <w:t xml:space="preserve">Hidroxocobalamina no tratamento de intoxicações por cianeto. Disponível em: </w:t>
      </w:r>
      <w:hyperlink r:id="rId42" w:history="1">
        <w:r w:rsidRPr="004B38C0">
          <w:rPr>
            <w:rStyle w:val="Hyperlink"/>
            <w:rFonts w:ascii="Calibri" w:hAnsi="Calibri"/>
            <w:lang w:val="pt-BR"/>
          </w:rPr>
          <w:t>http://conitec.gov.br/images/Consultas/Relatorios/2015/Relatorio_Hidroxocobalamina_CP.pdf</w:t>
        </w:r>
      </w:hyperlink>
    </w:p>
    <w:p w14:paraId="708D419C" w14:textId="77777777" w:rsidR="00315AC8" w:rsidRPr="00315AC8" w:rsidRDefault="00315AC8" w:rsidP="00315AC8">
      <w:pPr>
        <w:jc w:val="left"/>
        <w:rPr>
          <w:rStyle w:val="Hyperlink"/>
          <w:rFonts w:ascii="Calibri" w:hAnsi="Calibri"/>
          <w:color w:val="auto"/>
          <w:u w:val="none"/>
          <w:lang w:val="pt-BR"/>
        </w:rPr>
      </w:pPr>
    </w:p>
    <w:p w14:paraId="761AE61F" w14:textId="46E0808B" w:rsidR="00315AC8" w:rsidRPr="00DE0BAC" w:rsidRDefault="00430274" w:rsidP="0074771F">
      <w:pPr>
        <w:spacing w:line="276" w:lineRule="auto"/>
        <w:jc w:val="center"/>
        <w:rPr>
          <w:rStyle w:val="Ttulo2Char"/>
          <w:rFonts w:ascii="Calibri" w:hAnsi="Calibri" w:cs="Calibri"/>
          <w:bCs w:val="0"/>
          <w:sz w:val="32"/>
          <w:szCs w:val="32"/>
          <w:lang w:val="pt-BR"/>
        </w:rPr>
      </w:pPr>
      <w:r>
        <w:rPr>
          <w:rStyle w:val="Hyperlink"/>
          <w:rFonts w:ascii="Calibri" w:hAnsi="Calibri"/>
          <w:b/>
          <w:color w:val="auto"/>
          <w:sz w:val="32"/>
          <w:szCs w:val="32"/>
          <w:u w:val="none"/>
          <w:lang w:val="pt-BR"/>
        </w:rPr>
        <w:br w:type="page"/>
      </w:r>
      <w:bookmarkStart w:id="149" w:name="_Toc125971555"/>
      <w:bookmarkStart w:id="150" w:name="_Toc126746452"/>
      <w:bookmarkStart w:id="151" w:name="_Toc126746601"/>
      <w:bookmarkStart w:id="152" w:name="_Toc126750613"/>
      <w:r w:rsidR="00315AC8" w:rsidRPr="00DE0BAC">
        <w:rPr>
          <w:rStyle w:val="Ttulo2Char"/>
          <w:rFonts w:ascii="Calibri" w:hAnsi="Calibri" w:cs="Calibri"/>
          <w:bCs w:val="0"/>
          <w:sz w:val="32"/>
          <w:szCs w:val="32"/>
          <w:lang w:val="pt-BR"/>
        </w:rPr>
        <w:t>ANEXO 1</w:t>
      </w:r>
      <w:bookmarkEnd w:id="149"/>
      <w:bookmarkEnd w:id="150"/>
      <w:bookmarkEnd w:id="151"/>
      <w:bookmarkEnd w:id="152"/>
    </w:p>
    <w:p w14:paraId="00FB2C20" w14:textId="1A180A53" w:rsidR="00315AC8" w:rsidRPr="00DE0BAC" w:rsidRDefault="0085600E" w:rsidP="001E6F3E">
      <w:pPr>
        <w:spacing w:line="276" w:lineRule="auto"/>
        <w:jc w:val="center"/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</w:pPr>
      <w:bookmarkStart w:id="153" w:name="_Toc125384918"/>
      <w:bookmarkStart w:id="154" w:name="_Toc125971556"/>
      <w:bookmarkStart w:id="155" w:name="_Toc126746453"/>
      <w:bookmarkStart w:id="156" w:name="_Toc126746602"/>
      <w:bookmarkStart w:id="157" w:name="_Toc126750614"/>
      <w:r w:rsidRPr="00DE0BAC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>Critérios para indicação do uso d</w:t>
      </w:r>
      <w:r w:rsidR="00CC37DB" w:rsidRPr="00DE0BAC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>a</w:t>
      </w:r>
      <w:r w:rsidRPr="00DE0BAC">
        <w:rPr>
          <w:rStyle w:val="Ttulo2Char"/>
          <w:rFonts w:ascii="Calibri" w:hAnsi="Calibri" w:cs="Calibri"/>
          <w:bCs w:val="0"/>
          <w:i/>
          <w:iCs/>
          <w:color w:val="C00000"/>
          <w:sz w:val="32"/>
          <w:szCs w:val="32"/>
          <w:lang w:val="pt-BR"/>
        </w:rPr>
        <w:t xml:space="preserve"> </w:t>
      </w:r>
      <w:r w:rsidR="00CF357D" w:rsidRPr="00DE0BAC">
        <w:rPr>
          <w:rStyle w:val="Ttulo2Char"/>
          <w:rFonts w:ascii="Calibri" w:hAnsi="Calibri" w:cs="Calibri"/>
          <w:bCs w:val="0"/>
          <w:i/>
          <w:iCs/>
          <w:color w:val="C00000"/>
          <w:sz w:val="32"/>
          <w:szCs w:val="32"/>
          <w:lang w:val="pt-BR"/>
        </w:rPr>
        <w:t>N</w:t>
      </w:r>
      <w:r w:rsidR="00CF357D" w:rsidRPr="00DE0BAC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>-Acetilcisteína (</w:t>
      </w:r>
      <w:r w:rsidRPr="00DE0BAC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>NAC)</w:t>
      </w:r>
      <w:bookmarkEnd w:id="153"/>
      <w:bookmarkEnd w:id="154"/>
      <w:bookmarkEnd w:id="155"/>
      <w:bookmarkEnd w:id="156"/>
      <w:bookmarkEnd w:id="157"/>
    </w:p>
    <w:p w14:paraId="3ED87AA7" w14:textId="77777777" w:rsidR="0085600E" w:rsidRPr="00315AC8" w:rsidRDefault="0085600E" w:rsidP="0085600E">
      <w:pPr>
        <w:spacing w:line="240" w:lineRule="auto"/>
        <w:jc w:val="center"/>
        <w:rPr>
          <w:rStyle w:val="Hyperlink"/>
          <w:rFonts w:ascii="Calibri" w:hAnsi="Calibri"/>
          <w:b/>
          <w:color w:val="auto"/>
          <w:u w:val="non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5474"/>
      </w:tblGrid>
      <w:tr w:rsidR="00AC2ABC" w:rsidRPr="00512BD6" w14:paraId="120F61AA" w14:textId="77777777" w:rsidTr="00AC2ABC">
        <w:trPr>
          <w:trHeight w:val="1134"/>
        </w:trPr>
        <w:tc>
          <w:tcPr>
            <w:tcW w:w="4983" w:type="dxa"/>
            <w:shd w:val="clear" w:color="auto" w:fill="auto"/>
          </w:tcPr>
          <w:p w14:paraId="11E626E6" w14:textId="77777777" w:rsidR="00AC2ABC" w:rsidRPr="00513FB6" w:rsidRDefault="00AC2ABC" w:rsidP="00513FB6">
            <w:pPr>
              <w:spacing w:line="276" w:lineRule="auto"/>
              <w:jc w:val="left"/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</w:pPr>
            <w:r w:rsidRPr="00513FB6"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  <w:t xml:space="preserve">A INDICAÇÃO DE USO DE NAC DEVERÁ SER BASEADA NA </w:t>
            </w:r>
            <w:r w:rsidRPr="00513FB6"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  <w:t>PLOTAGEM DO RESULTADO DA DOSAGEM DE PARACETAMOL NO NOMOGRAMA MODIFICADO (TOXBASE)</w:t>
            </w:r>
          </w:p>
          <w:p w14:paraId="456EF668" w14:textId="77777777" w:rsidR="00AC2ABC" w:rsidRPr="00513FB6" w:rsidRDefault="00AC2ABC" w:rsidP="00513FB6">
            <w:pPr>
              <w:spacing w:line="276" w:lineRule="auto"/>
              <w:jc w:val="left"/>
              <w:rPr>
                <w:rStyle w:val="Hyperlink"/>
                <w:rFonts w:ascii="Calibri" w:hAnsi="Calibri"/>
                <w:i/>
                <w:color w:val="auto"/>
                <w:lang w:val="pt-BR"/>
              </w:rPr>
            </w:pPr>
          </w:p>
        </w:tc>
        <w:tc>
          <w:tcPr>
            <w:tcW w:w="5474" w:type="dxa"/>
            <w:vMerge w:val="restart"/>
            <w:shd w:val="clear" w:color="auto" w:fill="auto"/>
          </w:tcPr>
          <w:p w14:paraId="4CEFDE1B" w14:textId="77777777" w:rsidR="00AC2ABC" w:rsidRDefault="00AC2ABC" w:rsidP="00683875">
            <w:pPr>
              <w:spacing w:line="276" w:lineRule="auto"/>
              <w:jc w:val="center"/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</w:pPr>
            <w:r w:rsidRPr="00513FB6"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  <w:t xml:space="preserve">SITUAÇÕES ESPECIAIS: </w:t>
            </w:r>
          </w:p>
          <w:p w14:paraId="236BCD04" w14:textId="33C3ADE4" w:rsidR="00AC2ABC" w:rsidRPr="00513FB6" w:rsidRDefault="00AC2ABC" w:rsidP="00683875">
            <w:pPr>
              <w:spacing w:line="276" w:lineRule="auto"/>
              <w:jc w:val="center"/>
              <w:rPr>
                <w:rStyle w:val="Hyperlink"/>
                <w:rFonts w:ascii="Calibri" w:hAnsi="Calibri"/>
                <w:lang w:val="pt-BR"/>
              </w:rPr>
            </w:pPr>
            <w:r w:rsidRPr="004043A3"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  <w:t xml:space="preserve">INICIAR NAC SEM RESULTADO DE DOSAGEM </w:t>
            </w:r>
            <w:r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  <w:t xml:space="preserve">DA CONCENTRAÇÃO PLASMÁTICA DO </w:t>
            </w:r>
            <w:r w:rsidRPr="00AC2ABC"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  <w:t>PARACETAMOL NOS CASOS DE:</w:t>
            </w:r>
          </w:p>
          <w:p w14:paraId="14DC1121" w14:textId="77777777" w:rsidR="00AC2ABC" w:rsidRPr="00513FB6" w:rsidRDefault="00AC2ABC" w:rsidP="002F0578">
            <w:pPr>
              <w:numPr>
                <w:ilvl w:val="0"/>
                <w:numId w:val="67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</w:pPr>
            <w:r w:rsidRPr="00AC2ABC"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  <w:t>Ingestão &gt;150 mg/kg</w:t>
            </w:r>
            <w:r w:rsidRPr="00AC2ABC"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 xml:space="preserve"> e certeza de que o</w:t>
            </w:r>
            <w:r w:rsidRPr="00513FB6"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 xml:space="preserve"> resultado de dosagem vai atrasar;</w:t>
            </w:r>
          </w:p>
          <w:p w14:paraId="5989D5C2" w14:textId="77777777" w:rsidR="00AC2ABC" w:rsidRPr="00513FB6" w:rsidRDefault="00AC2ABC" w:rsidP="002F0578">
            <w:pPr>
              <w:numPr>
                <w:ilvl w:val="1"/>
                <w:numId w:val="67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</w:pPr>
            <w:r w:rsidRPr="00513FB6"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  <w:t>Suspender a NAC caso o resultado no nomograma fique abaixo da linha de risco!</w:t>
            </w:r>
          </w:p>
          <w:p w14:paraId="17DA6B37" w14:textId="77777777" w:rsidR="00AC2ABC" w:rsidRPr="00513FB6" w:rsidRDefault="00AC2ABC" w:rsidP="002F0578">
            <w:pPr>
              <w:numPr>
                <w:ilvl w:val="0"/>
                <w:numId w:val="67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</w:pPr>
            <w:r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  <w:t>I</w:t>
            </w:r>
            <w:r w:rsidRPr="00513FB6"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  <w:t>ngestão de doses &gt; 150 mg/kg nas últimas 24h</w:t>
            </w:r>
            <w:r w:rsidRPr="00513FB6"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 xml:space="preserve"> com incerteza de horário da ingestão;</w:t>
            </w:r>
          </w:p>
          <w:p w14:paraId="314FDA7F" w14:textId="77777777" w:rsidR="00AC2ABC" w:rsidRPr="00513FB6" w:rsidRDefault="00AC2ABC" w:rsidP="002F0578">
            <w:pPr>
              <w:numPr>
                <w:ilvl w:val="0"/>
                <w:numId w:val="67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</w:pPr>
            <w:r w:rsidRPr="006C0D6F"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  <w:t xml:space="preserve">Ingestão </w:t>
            </w:r>
            <w:r w:rsidRPr="00513FB6"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  <w:t>há mais de 24h com ALT e RNI alterados;</w:t>
            </w:r>
          </w:p>
          <w:p w14:paraId="5F7E18D8" w14:textId="77777777" w:rsidR="00AC2ABC" w:rsidRPr="00513FB6" w:rsidRDefault="00AC2ABC" w:rsidP="002F0578">
            <w:pPr>
              <w:numPr>
                <w:ilvl w:val="0"/>
                <w:numId w:val="67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</w:pPr>
            <w:r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>E</w:t>
            </w:r>
            <w:r w:rsidRPr="00513FB6"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 xml:space="preserve">vidência de </w:t>
            </w:r>
            <w:r w:rsidRPr="00513FB6"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  <w:t>falência hepática</w:t>
            </w:r>
            <w:r w:rsidRPr="00513FB6"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>;</w:t>
            </w:r>
          </w:p>
          <w:p w14:paraId="038C0717" w14:textId="77777777" w:rsidR="00AC2ABC" w:rsidRPr="00513FB6" w:rsidRDefault="00AC2ABC" w:rsidP="002F0578">
            <w:pPr>
              <w:numPr>
                <w:ilvl w:val="0"/>
                <w:numId w:val="67"/>
              </w:numPr>
              <w:spacing w:line="276" w:lineRule="auto"/>
              <w:jc w:val="left"/>
              <w:rPr>
                <w:rStyle w:val="Hyperlink"/>
                <w:rFonts w:ascii="Calibri" w:hAnsi="Calibri"/>
                <w:sz w:val="28"/>
                <w:lang w:val="pt-BR"/>
              </w:rPr>
            </w:pPr>
            <w:r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>H</w:t>
            </w:r>
            <w:r w:rsidRPr="00513FB6"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 xml:space="preserve">istória de </w:t>
            </w:r>
            <w:r w:rsidRPr="00513FB6"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  <w:t>overdose em neonatos;</w:t>
            </w:r>
          </w:p>
          <w:p w14:paraId="2DF8B10F" w14:textId="77777777" w:rsidR="00AC2ABC" w:rsidRDefault="00AC2ABC" w:rsidP="002F0578">
            <w:pPr>
              <w:numPr>
                <w:ilvl w:val="0"/>
                <w:numId w:val="67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</w:pPr>
            <w:r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 xml:space="preserve">Pacientes admitidos </w:t>
            </w:r>
            <w:r w:rsidRPr="00513FB6"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  <w:t>72</w:t>
            </w:r>
            <w:r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  <w:t xml:space="preserve">h após </w:t>
            </w:r>
            <w:r w:rsidRPr="00513FB6"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>ingestão de 150 mg/kg em qualquer período de 24h dentro das 72h, independente de resultados de ALT e RNI</w:t>
            </w:r>
            <w:r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>.</w:t>
            </w:r>
          </w:p>
          <w:p w14:paraId="38AD4CAA" w14:textId="77777777" w:rsidR="00AC2ABC" w:rsidRDefault="00AC2ABC" w:rsidP="005B0A26">
            <w:p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</w:pPr>
          </w:p>
          <w:p w14:paraId="6B62E2C8" w14:textId="77777777" w:rsidR="00AC2ABC" w:rsidRPr="005B0A26" w:rsidRDefault="00AC2ABC" w:rsidP="005B0A26">
            <w:pPr>
              <w:spacing w:line="276" w:lineRule="auto"/>
              <w:jc w:val="right"/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</w:pPr>
            <w:r w:rsidRPr="005B0A26">
              <w:rPr>
                <w:rStyle w:val="Hyperlink"/>
                <w:rFonts w:ascii="Calibri" w:hAnsi="Calibri"/>
                <w:b/>
                <w:color w:val="C00000"/>
                <w:sz w:val="28"/>
                <w:u w:val="none"/>
                <w:lang w:val="pt-BR"/>
              </w:rPr>
              <w:t xml:space="preserve">Adaptado do </w:t>
            </w:r>
            <w:r w:rsidRPr="005B0A26"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  <w:t>Toxbase</w:t>
            </w:r>
          </w:p>
          <w:p w14:paraId="4BA3085E" w14:textId="77777777" w:rsidR="00AC2ABC" w:rsidRDefault="00AC2ABC" w:rsidP="00513FB6">
            <w:pPr>
              <w:spacing w:line="276" w:lineRule="auto"/>
              <w:jc w:val="left"/>
              <w:rPr>
                <w:rStyle w:val="Hyperlink"/>
                <w:rFonts w:ascii="Calibri" w:hAnsi="Calibri"/>
                <w:b/>
                <w:i/>
                <w:color w:val="C00000"/>
                <w:u w:val="none"/>
                <w:lang w:val="pt-BR"/>
              </w:rPr>
            </w:pPr>
          </w:p>
          <w:p w14:paraId="4884E5C6" w14:textId="77777777" w:rsidR="00AC2ABC" w:rsidRPr="002C2908" w:rsidRDefault="00AC2ABC" w:rsidP="002C2908">
            <w:pPr>
              <w:rPr>
                <w:rFonts w:ascii="Calibri" w:hAnsi="Calibri"/>
                <w:lang w:val="pt-BR"/>
              </w:rPr>
            </w:pPr>
          </w:p>
          <w:p w14:paraId="2D6FBECA" w14:textId="77777777" w:rsidR="00AC2ABC" w:rsidRPr="002C2908" w:rsidRDefault="00AC2ABC" w:rsidP="002C2908">
            <w:pPr>
              <w:rPr>
                <w:rFonts w:ascii="Calibri" w:hAnsi="Calibri"/>
                <w:lang w:val="pt-BR"/>
              </w:rPr>
            </w:pPr>
          </w:p>
          <w:p w14:paraId="32F70767" w14:textId="77777777" w:rsidR="00AC2ABC" w:rsidRPr="002C2908" w:rsidRDefault="00AC2ABC" w:rsidP="002C2908">
            <w:pPr>
              <w:rPr>
                <w:rFonts w:ascii="Calibri" w:hAnsi="Calibri"/>
                <w:lang w:val="pt-BR"/>
              </w:rPr>
            </w:pPr>
          </w:p>
          <w:p w14:paraId="292881FC" w14:textId="49E3C0DA" w:rsidR="00AC2ABC" w:rsidRPr="00513FB6" w:rsidRDefault="00AC2ABC" w:rsidP="002C2908">
            <w:pPr>
              <w:tabs>
                <w:tab w:val="left" w:pos="3418"/>
              </w:tabs>
              <w:rPr>
                <w:rStyle w:val="Hyperlink"/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BR"/>
              </w:rPr>
              <w:tab/>
            </w:r>
          </w:p>
        </w:tc>
      </w:tr>
      <w:tr w:rsidR="00AC2ABC" w:rsidRPr="0089272C" w14:paraId="7EFEEA8C" w14:textId="77777777" w:rsidTr="00AC2ABC">
        <w:trPr>
          <w:trHeight w:val="1582"/>
        </w:trPr>
        <w:tc>
          <w:tcPr>
            <w:tcW w:w="4983" w:type="dxa"/>
            <w:shd w:val="clear" w:color="auto" w:fill="auto"/>
          </w:tcPr>
          <w:p w14:paraId="73226450" w14:textId="77777777" w:rsidR="00AC2ABC" w:rsidRPr="00513FB6" w:rsidRDefault="00AC2ABC" w:rsidP="00513FB6">
            <w:p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C00000"/>
                <w:lang w:val="pt-BR"/>
              </w:rPr>
            </w:pPr>
            <w:r w:rsidRPr="00513FB6"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  <w:t xml:space="preserve">A INDICAÇÃO DA </w:t>
            </w:r>
            <w:r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  <w:t xml:space="preserve">COLETA DE AMOSTRA PARA </w:t>
            </w:r>
            <w:r w:rsidRPr="00513FB6"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  <w:t xml:space="preserve">DOSAGEM </w:t>
            </w:r>
            <w:r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  <w:t>PLASMÁTICA</w:t>
            </w:r>
            <w:r w:rsidRPr="00513FB6"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  <w:t xml:space="preserve"> DE PARACETAMOL E DO USO DO NOMOGRAMA </w:t>
            </w:r>
            <w:r w:rsidRPr="00513FB6"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  <w:t>DEVE SER FEITA</w:t>
            </w:r>
            <w:r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  <w:t xml:space="preserve"> APÓS 4h DA INGESTÃO,</w:t>
            </w:r>
            <w:r w:rsidRPr="00513FB6"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  <w:t xml:space="preserve"> PREFERENCIALMENTE</w:t>
            </w:r>
            <w:r w:rsidRPr="00513FB6"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  <w:t xml:space="preserve"> </w:t>
            </w:r>
            <w:r w:rsidRPr="00513FB6"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  <w:t>DENTRO DE 8</w:t>
            </w:r>
            <w:r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  <w:t>h</w:t>
            </w:r>
            <w:r w:rsidRPr="00513FB6">
              <w:rPr>
                <w:rStyle w:val="Hyperlink"/>
                <w:rFonts w:ascii="Calibri" w:hAnsi="Calibri"/>
                <w:b/>
                <w:i/>
                <w:color w:val="C00000"/>
                <w:sz w:val="28"/>
                <w:u w:val="none"/>
                <w:lang w:val="pt-BR"/>
              </w:rPr>
              <w:t xml:space="preserve"> PÓS-INGESTÃO!</w:t>
            </w:r>
          </w:p>
          <w:p w14:paraId="096F3BB0" w14:textId="77777777" w:rsidR="00AC2ABC" w:rsidRPr="00513FB6" w:rsidRDefault="00AC2ABC" w:rsidP="00513FB6">
            <w:p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C00000"/>
                <w:lang w:val="pt-BR"/>
              </w:rPr>
            </w:pPr>
          </w:p>
        </w:tc>
        <w:tc>
          <w:tcPr>
            <w:tcW w:w="5474" w:type="dxa"/>
            <w:vMerge/>
            <w:shd w:val="clear" w:color="auto" w:fill="auto"/>
          </w:tcPr>
          <w:p w14:paraId="527F76D7" w14:textId="2B945E3D" w:rsidR="00AC2ABC" w:rsidRPr="002C2908" w:rsidRDefault="00AC2ABC" w:rsidP="002C2908">
            <w:pPr>
              <w:tabs>
                <w:tab w:val="left" w:pos="3418"/>
              </w:tabs>
              <w:rPr>
                <w:rFonts w:ascii="Calibri" w:hAnsi="Calibri"/>
                <w:lang w:val="pt-BR"/>
              </w:rPr>
            </w:pPr>
          </w:p>
        </w:tc>
      </w:tr>
      <w:tr w:rsidR="00AC2ABC" w:rsidRPr="0089272C" w14:paraId="59ED5EED" w14:textId="77777777" w:rsidTr="00AC2ABC">
        <w:trPr>
          <w:trHeight w:val="1369"/>
        </w:trPr>
        <w:tc>
          <w:tcPr>
            <w:tcW w:w="4983" w:type="dxa"/>
            <w:shd w:val="clear" w:color="auto" w:fill="auto"/>
          </w:tcPr>
          <w:p w14:paraId="1478F1E6" w14:textId="77777777" w:rsidR="00AC2ABC" w:rsidRPr="00513FB6" w:rsidRDefault="00AC2ABC" w:rsidP="00513FB6">
            <w:p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</w:pPr>
            <w:r w:rsidRPr="00513FB6"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>O NOMOGRAMA NÃO DEVE SER USADO EM CASOS DE:</w:t>
            </w:r>
          </w:p>
          <w:p w14:paraId="7EE4D3E6" w14:textId="77777777" w:rsidR="00AC2ABC" w:rsidRPr="00513FB6" w:rsidRDefault="00AC2ABC" w:rsidP="002F0578">
            <w:pPr>
              <w:numPr>
                <w:ilvl w:val="0"/>
                <w:numId w:val="65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</w:pPr>
            <w:r w:rsidRPr="00513FB6"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>Horário incerto da ingestão;</w:t>
            </w:r>
          </w:p>
          <w:p w14:paraId="2BA22C78" w14:textId="77777777" w:rsidR="00AC2ABC" w:rsidRPr="00513FB6" w:rsidRDefault="00AC2ABC" w:rsidP="002F0578">
            <w:pPr>
              <w:numPr>
                <w:ilvl w:val="0"/>
                <w:numId w:val="65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i/>
                <w:color w:val="auto"/>
                <w:sz w:val="28"/>
                <w:u w:val="none"/>
                <w:lang w:val="pt-BR"/>
              </w:rPr>
            </w:pPr>
            <w:r w:rsidRPr="00513FB6"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>Doses ingeridas sucessivas ao longo do tempo</w:t>
            </w:r>
            <w:r>
              <w:rPr>
                <w:rStyle w:val="Hyperlink"/>
                <w:rFonts w:ascii="Calibri" w:hAnsi="Calibri"/>
                <w:b/>
                <w:color w:val="auto"/>
                <w:sz w:val="28"/>
                <w:u w:val="none"/>
                <w:lang w:val="pt-BR"/>
              </w:rPr>
              <w:t>.</w:t>
            </w:r>
          </w:p>
        </w:tc>
        <w:tc>
          <w:tcPr>
            <w:tcW w:w="5474" w:type="dxa"/>
            <w:vMerge/>
            <w:shd w:val="clear" w:color="auto" w:fill="auto"/>
          </w:tcPr>
          <w:p w14:paraId="0790D2A3" w14:textId="77777777" w:rsidR="00AC2ABC" w:rsidRPr="00513FB6" w:rsidRDefault="00AC2ABC" w:rsidP="002F0578">
            <w:pPr>
              <w:numPr>
                <w:ilvl w:val="0"/>
                <w:numId w:val="66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auto"/>
                <w:u w:val="none"/>
                <w:lang w:val="pt-BR"/>
              </w:rPr>
            </w:pPr>
          </w:p>
        </w:tc>
      </w:tr>
      <w:tr w:rsidR="00AC2ABC" w:rsidRPr="0089272C" w14:paraId="4940693A" w14:textId="77777777" w:rsidTr="00AC2ABC">
        <w:trPr>
          <w:trHeight w:val="1032"/>
        </w:trPr>
        <w:tc>
          <w:tcPr>
            <w:tcW w:w="4983" w:type="dxa"/>
            <w:shd w:val="clear" w:color="auto" w:fill="auto"/>
          </w:tcPr>
          <w:p w14:paraId="025F8E48" w14:textId="77777777" w:rsidR="00AC2ABC" w:rsidRPr="001C6411" w:rsidRDefault="00AC2ABC" w:rsidP="00513FB6">
            <w:pPr>
              <w:spacing w:line="276" w:lineRule="auto"/>
              <w:jc w:val="left"/>
              <w:rPr>
                <w:rStyle w:val="Hyperlink"/>
                <w:rFonts w:ascii="Calibri" w:hAnsi="Calibri"/>
                <w:b/>
                <w:i/>
                <w:color w:val="C00000"/>
                <w:sz w:val="32"/>
                <w:lang w:val="pt-BR"/>
              </w:rPr>
            </w:pPr>
            <w:r w:rsidRPr="001C6411">
              <w:rPr>
                <w:rStyle w:val="Hyperlink"/>
                <w:rFonts w:ascii="Calibri" w:hAnsi="Calibri"/>
                <w:b/>
                <w:i/>
                <w:color w:val="auto"/>
                <w:sz w:val="32"/>
                <w:u w:val="none"/>
                <w:lang w:val="pt-BR"/>
              </w:rPr>
              <w:t>Não se deve levar em conta fatores de risco na decisão de usar ou não a NAC.</w:t>
            </w:r>
          </w:p>
        </w:tc>
        <w:tc>
          <w:tcPr>
            <w:tcW w:w="5474" w:type="dxa"/>
            <w:vMerge/>
            <w:shd w:val="clear" w:color="auto" w:fill="auto"/>
          </w:tcPr>
          <w:p w14:paraId="26E20E04" w14:textId="77777777" w:rsidR="00AC2ABC" w:rsidRPr="00513FB6" w:rsidRDefault="00AC2ABC" w:rsidP="002F0578">
            <w:pPr>
              <w:numPr>
                <w:ilvl w:val="0"/>
                <w:numId w:val="66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auto"/>
                <w:u w:val="none"/>
                <w:lang w:val="pt-BR"/>
              </w:rPr>
            </w:pPr>
          </w:p>
        </w:tc>
      </w:tr>
      <w:tr w:rsidR="00AC2ABC" w:rsidRPr="00862C21" w14:paraId="175E67B8" w14:textId="77777777" w:rsidTr="00AC2ABC">
        <w:trPr>
          <w:trHeight w:val="1695"/>
        </w:trPr>
        <w:tc>
          <w:tcPr>
            <w:tcW w:w="4983" w:type="dxa"/>
            <w:shd w:val="clear" w:color="auto" w:fill="auto"/>
          </w:tcPr>
          <w:p w14:paraId="4711A246" w14:textId="77777777" w:rsidR="00AC2ABC" w:rsidRPr="00513FB6" w:rsidRDefault="00AC2ABC" w:rsidP="004043A3">
            <w:p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</w:pPr>
            <w:r w:rsidRPr="006C0D6F"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  <w:t xml:space="preserve">NOS CASOS </w:t>
            </w:r>
            <w:r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  <w:t xml:space="preserve">EM QUE HÁ </w:t>
            </w:r>
            <w:r w:rsidRPr="006C0D6F"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  <w:t>CERTEZA QUE A DOSE INGERIDA FOI &lt;</w:t>
            </w:r>
            <w:r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  <w:t xml:space="preserve"> </w:t>
            </w:r>
            <w:r w:rsidRPr="006C0D6F"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  <w:t xml:space="preserve">150 mg/kg </w:t>
            </w:r>
            <w:r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  <w:t xml:space="preserve">PARA CRIANÇAS E &lt; 7,5 g EM ADULTOS, NUM PERÍODO ÚNICO DE 8h, </w:t>
            </w:r>
            <w:r w:rsidRPr="006C0D6F"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  <w:t xml:space="preserve">NÃO </w:t>
            </w:r>
            <w:r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  <w:t>I</w:t>
            </w:r>
            <w:r w:rsidRPr="00CF357D"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>N</w:t>
            </w:r>
            <w:r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>D</w:t>
            </w:r>
            <w:r w:rsidRPr="00CF357D"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>I</w:t>
            </w:r>
            <w:r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>C</w:t>
            </w:r>
            <w:r w:rsidRPr="00CF357D"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>A</w:t>
            </w:r>
            <w:r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>R</w:t>
            </w:r>
            <w:r w:rsidRPr="00CF357D"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 xml:space="preserve"> </w:t>
            </w:r>
            <w:r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>N</w:t>
            </w:r>
            <w:r w:rsidRPr="00CF357D"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>A</w:t>
            </w:r>
            <w:r>
              <w:rPr>
                <w:rStyle w:val="Hyperlink"/>
                <w:rFonts w:ascii="Calibri" w:hAnsi="Calibri"/>
                <w:b/>
                <w:color w:val="C00000"/>
                <w:sz w:val="32"/>
                <w:lang w:val="pt-BR"/>
              </w:rPr>
              <w:t>C</w:t>
            </w:r>
            <w:r w:rsidRPr="006C0D6F">
              <w:rPr>
                <w:rStyle w:val="Hyperlink"/>
                <w:rFonts w:ascii="Calibri" w:hAnsi="Calibri"/>
                <w:b/>
                <w:color w:val="C00000"/>
                <w:sz w:val="32"/>
                <w:u w:val="none"/>
                <w:lang w:val="pt-BR"/>
              </w:rPr>
              <w:t>!</w:t>
            </w:r>
          </w:p>
        </w:tc>
        <w:tc>
          <w:tcPr>
            <w:tcW w:w="54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8B26DB" w14:textId="77777777" w:rsidR="00AC2ABC" w:rsidRPr="00513FB6" w:rsidRDefault="00AC2ABC" w:rsidP="002F0578">
            <w:pPr>
              <w:numPr>
                <w:ilvl w:val="0"/>
                <w:numId w:val="66"/>
              </w:numPr>
              <w:spacing w:line="276" w:lineRule="auto"/>
              <w:jc w:val="left"/>
              <w:rPr>
                <w:rStyle w:val="Hyperlink"/>
                <w:rFonts w:ascii="Calibri" w:hAnsi="Calibri"/>
                <w:b/>
                <w:color w:val="auto"/>
                <w:u w:val="none"/>
                <w:lang w:val="pt-BR"/>
              </w:rPr>
            </w:pPr>
          </w:p>
        </w:tc>
      </w:tr>
    </w:tbl>
    <w:p w14:paraId="7575EFD3" w14:textId="77777777" w:rsidR="002C2908" w:rsidRDefault="002C2908" w:rsidP="0074771F">
      <w:pPr>
        <w:spacing w:line="276" w:lineRule="auto"/>
        <w:jc w:val="center"/>
        <w:rPr>
          <w:rStyle w:val="Hyperlink"/>
          <w:rFonts w:ascii="Calibri" w:hAnsi="Calibri"/>
          <w:lang w:val="pt-BR"/>
        </w:rPr>
        <w:sectPr w:rsidR="002C2908" w:rsidSect="00961DB5">
          <w:pgSz w:w="11907" w:h="16840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1BBDAE40" w14:textId="487E692A" w:rsidR="008B2DE8" w:rsidRPr="00DE0BAC" w:rsidRDefault="008B2DE8" w:rsidP="0074771F">
      <w:pPr>
        <w:spacing w:line="276" w:lineRule="auto"/>
        <w:jc w:val="center"/>
        <w:rPr>
          <w:rStyle w:val="Ttulo2Char"/>
          <w:rFonts w:ascii="Calibri" w:hAnsi="Calibri" w:cs="Calibri"/>
          <w:bCs w:val="0"/>
          <w:sz w:val="32"/>
          <w:szCs w:val="32"/>
          <w:lang w:val="pt-BR"/>
        </w:rPr>
      </w:pPr>
      <w:bookmarkStart w:id="158" w:name="_Toc125971557"/>
      <w:bookmarkStart w:id="159" w:name="_Toc126746454"/>
      <w:bookmarkStart w:id="160" w:name="_Toc126746603"/>
      <w:bookmarkStart w:id="161" w:name="_Toc126750615"/>
      <w:r w:rsidRPr="00DE0BAC">
        <w:rPr>
          <w:rStyle w:val="Ttulo2Char"/>
          <w:rFonts w:ascii="Calibri" w:hAnsi="Calibri" w:cs="Calibri"/>
          <w:bCs w:val="0"/>
          <w:sz w:val="32"/>
          <w:szCs w:val="32"/>
          <w:lang w:val="pt-BR"/>
        </w:rPr>
        <w:t>ANEXO 2</w:t>
      </w:r>
      <w:bookmarkEnd w:id="158"/>
      <w:bookmarkEnd w:id="159"/>
      <w:bookmarkEnd w:id="160"/>
      <w:bookmarkEnd w:id="161"/>
    </w:p>
    <w:p w14:paraId="56D28DC3" w14:textId="1CEDF549" w:rsidR="008B2DE8" w:rsidRPr="00DE0BAC" w:rsidRDefault="008B2DE8" w:rsidP="001E6F3E">
      <w:pPr>
        <w:spacing w:line="276" w:lineRule="auto"/>
        <w:jc w:val="center"/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</w:pPr>
      <w:bookmarkStart w:id="162" w:name="_Toc125384920"/>
      <w:bookmarkStart w:id="163" w:name="_Toc125971558"/>
      <w:bookmarkStart w:id="164" w:name="_Toc126746455"/>
      <w:bookmarkStart w:id="165" w:name="_Toc126746604"/>
      <w:bookmarkStart w:id="166" w:name="_Toc126750616"/>
      <w:r w:rsidRPr="00DE0BAC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 xml:space="preserve">Nomograma da concentração </w:t>
      </w:r>
      <w:r w:rsidR="001D41EC" w:rsidRPr="00DE0BAC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>plasmática do</w:t>
      </w:r>
      <w:r w:rsidRPr="00DE0BAC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 xml:space="preserve"> paracetamol para </w:t>
      </w:r>
      <w:r w:rsidR="001D41EC" w:rsidRPr="00DE0BAC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 xml:space="preserve">avaliar a necessidade </w:t>
      </w:r>
      <w:r w:rsidRPr="00DE0BAC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>do uso da NAC</w:t>
      </w:r>
      <w:bookmarkEnd w:id="162"/>
      <w:bookmarkEnd w:id="163"/>
      <w:bookmarkEnd w:id="164"/>
      <w:bookmarkEnd w:id="165"/>
      <w:bookmarkEnd w:id="166"/>
    </w:p>
    <w:p w14:paraId="66955ABD" w14:textId="77777777" w:rsidR="008B2DE8" w:rsidRDefault="008B2DE8" w:rsidP="008B2DE8">
      <w:pPr>
        <w:spacing w:line="240" w:lineRule="auto"/>
        <w:jc w:val="center"/>
        <w:rPr>
          <w:rFonts w:ascii="Calibri" w:hAnsi="Calibri"/>
          <w:b/>
          <w:color w:val="C00000"/>
          <w:sz w:val="32"/>
          <w:szCs w:val="32"/>
          <w:lang w:val="pt-BR"/>
        </w:rPr>
      </w:pPr>
    </w:p>
    <w:p w14:paraId="0AC6E9E4" w14:textId="13F090F9" w:rsidR="008B2DE8" w:rsidRDefault="00743A29" w:rsidP="008B2DE8">
      <w:pPr>
        <w:spacing w:line="240" w:lineRule="auto"/>
        <w:jc w:val="center"/>
        <w:rPr>
          <w:rFonts w:ascii="Calibri" w:hAnsi="Calibri"/>
          <w:b/>
          <w:color w:val="C00000"/>
          <w:sz w:val="32"/>
          <w:szCs w:val="32"/>
          <w:lang w:val="pt-BR"/>
        </w:rPr>
      </w:pPr>
      <w:r>
        <w:rPr>
          <w:rFonts w:ascii="Calibri" w:hAnsi="Calibri"/>
          <w:b/>
          <w:noProof/>
          <w:color w:val="C00000"/>
          <w:sz w:val="32"/>
          <w:szCs w:val="32"/>
          <w:lang w:val="pt-BR"/>
        </w:rPr>
        <w:drawing>
          <wp:inline distT="0" distB="0" distL="0" distR="0" wp14:anchorId="7AD8DA5F" wp14:editId="4D7B72D1">
            <wp:extent cx="8136255" cy="45720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25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4DD99" w14:textId="77777777" w:rsidR="002C2908" w:rsidRDefault="002C2908" w:rsidP="0074771F">
      <w:pPr>
        <w:spacing w:line="276" w:lineRule="auto"/>
        <w:jc w:val="center"/>
        <w:rPr>
          <w:rStyle w:val="Hyperlink"/>
          <w:rFonts w:ascii="Calibri" w:hAnsi="Calibri"/>
          <w:lang w:val="pt-BR"/>
        </w:rPr>
        <w:sectPr w:rsidR="002C2908" w:rsidSect="00AB3CEC">
          <w:pgSz w:w="1684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0C079285" w14:textId="14CB9F40" w:rsidR="00BC48B1" w:rsidRPr="008C06F0" w:rsidRDefault="002C2908" w:rsidP="0074771F">
      <w:pPr>
        <w:spacing w:line="276" w:lineRule="auto"/>
        <w:jc w:val="center"/>
        <w:rPr>
          <w:rStyle w:val="Ttulo2Char"/>
          <w:rFonts w:ascii="Calibri" w:hAnsi="Calibri" w:cs="Calibri"/>
          <w:bCs w:val="0"/>
          <w:sz w:val="32"/>
          <w:szCs w:val="32"/>
          <w:lang w:val="pt-BR"/>
        </w:rPr>
      </w:pPr>
      <w:bookmarkStart w:id="167" w:name="_Toc125971559"/>
      <w:bookmarkStart w:id="168" w:name="_Toc126746456"/>
      <w:bookmarkStart w:id="169" w:name="_Toc126746605"/>
      <w:bookmarkStart w:id="170" w:name="_Toc126750617"/>
      <w:r>
        <w:rPr>
          <w:rStyle w:val="Ttulo2Char"/>
          <w:rFonts w:ascii="Calibri" w:hAnsi="Calibri" w:cs="Calibri"/>
          <w:bCs w:val="0"/>
          <w:sz w:val="32"/>
          <w:szCs w:val="32"/>
          <w:lang w:val="pt-BR"/>
        </w:rPr>
        <w:t>A</w:t>
      </w:r>
      <w:r w:rsidR="00BC48B1" w:rsidRPr="008C06F0">
        <w:rPr>
          <w:rStyle w:val="Ttulo2Char"/>
          <w:rFonts w:ascii="Calibri" w:hAnsi="Calibri" w:cs="Calibri"/>
          <w:bCs w:val="0"/>
          <w:sz w:val="32"/>
          <w:szCs w:val="32"/>
          <w:lang w:val="pt-BR"/>
        </w:rPr>
        <w:t>NEXO</w:t>
      </w:r>
      <w:r w:rsidR="0085600E" w:rsidRPr="008C06F0">
        <w:rPr>
          <w:rStyle w:val="Ttulo2Char"/>
          <w:rFonts w:ascii="Calibri" w:hAnsi="Calibri" w:cs="Calibri"/>
          <w:bCs w:val="0"/>
          <w:sz w:val="32"/>
          <w:szCs w:val="32"/>
          <w:lang w:val="pt-BR"/>
        </w:rPr>
        <w:t xml:space="preserve"> 3</w:t>
      </w:r>
      <w:bookmarkEnd w:id="167"/>
      <w:bookmarkEnd w:id="168"/>
      <w:bookmarkEnd w:id="169"/>
      <w:bookmarkEnd w:id="170"/>
      <w:r w:rsidR="00BC48B1" w:rsidRPr="008C06F0">
        <w:rPr>
          <w:rStyle w:val="Ttulo2Char"/>
          <w:rFonts w:ascii="Calibri" w:hAnsi="Calibri" w:cs="Calibri"/>
          <w:bCs w:val="0"/>
          <w:sz w:val="32"/>
          <w:szCs w:val="32"/>
          <w:lang w:val="pt-BR"/>
        </w:rPr>
        <w:t xml:space="preserve"> </w:t>
      </w:r>
    </w:p>
    <w:p w14:paraId="198C9EC2" w14:textId="5FA3052F" w:rsidR="00BC48B1" w:rsidRPr="008C06F0" w:rsidRDefault="00BC48B1" w:rsidP="001E6F3E">
      <w:pPr>
        <w:spacing w:line="276" w:lineRule="auto"/>
        <w:jc w:val="center"/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</w:pPr>
      <w:bookmarkStart w:id="171" w:name="_Toc125384922"/>
      <w:bookmarkStart w:id="172" w:name="_Toc125971560"/>
      <w:bookmarkStart w:id="173" w:name="_Toc126746457"/>
      <w:bookmarkStart w:id="174" w:name="_Toc126746606"/>
      <w:bookmarkStart w:id="175" w:name="_Toc126750618"/>
      <w:r w:rsidRPr="008C06F0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>Esquema de infusão IV de 2 bolsas</w:t>
      </w:r>
      <w:r w:rsidR="006606B9" w:rsidRPr="008C06F0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 xml:space="preserve"> de NAC</w:t>
      </w:r>
      <w:r w:rsidRPr="008C06F0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 xml:space="preserve"> em 12</w:t>
      </w:r>
      <w:r w:rsidR="00DA6C8A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 xml:space="preserve"> </w:t>
      </w:r>
      <w:r w:rsidRPr="008C06F0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 xml:space="preserve">h (esquema SNAP, </w:t>
      </w:r>
      <w:r w:rsidRPr="008C06F0">
        <w:rPr>
          <w:rStyle w:val="Ttulo2Char"/>
          <w:rFonts w:ascii="Calibri" w:hAnsi="Calibri" w:cs="Calibri"/>
          <w:bCs w:val="0"/>
          <w:i/>
          <w:iCs/>
          <w:color w:val="C00000"/>
          <w:sz w:val="32"/>
          <w:szCs w:val="32"/>
          <w:lang w:val="pt-BR"/>
        </w:rPr>
        <w:t>The Scottish and Newcastle Acetylcysteine Protocol</w:t>
      </w:r>
      <w:r w:rsidRPr="008C06F0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>)</w:t>
      </w:r>
      <w:r w:rsidR="00A827D4" w:rsidRPr="008C06F0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>.</w:t>
      </w:r>
      <w:r w:rsidR="00CF357D" w:rsidRPr="008C06F0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 xml:space="preserve"> </w:t>
      </w:r>
      <w:r w:rsidR="00A827D4" w:rsidRPr="008C06F0">
        <w:rPr>
          <w:rStyle w:val="Ttulo2Char"/>
          <w:rFonts w:ascii="Calibri" w:hAnsi="Calibri" w:cs="Calibri"/>
          <w:bCs w:val="0"/>
          <w:color w:val="C00000"/>
          <w:sz w:val="32"/>
          <w:szCs w:val="32"/>
          <w:lang w:val="pt-BR"/>
        </w:rPr>
        <w:t>Critérios para descontinuar ou prosseguir com a NAC após o término da infusão da 2ª bolsa.</w:t>
      </w:r>
      <w:bookmarkEnd w:id="171"/>
      <w:bookmarkEnd w:id="172"/>
      <w:bookmarkEnd w:id="173"/>
      <w:bookmarkEnd w:id="174"/>
      <w:bookmarkEnd w:id="175"/>
    </w:p>
    <w:p w14:paraId="42B332EC" w14:textId="5A02B06E" w:rsidR="00BC48B1" w:rsidRPr="00BC48B1" w:rsidRDefault="00743A29" w:rsidP="00BC48B1">
      <w:pPr>
        <w:jc w:val="center"/>
        <w:rPr>
          <w:rFonts w:ascii="Calibri" w:hAnsi="Calibri"/>
          <w:b/>
          <w:lang w:val="pt-BR"/>
        </w:rPr>
      </w:pPr>
      <w:r>
        <w:rPr>
          <w:rFonts w:ascii="Calibri" w:hAnsi="Calibri"/>
          <w:b/>
          <w:noProof/>
          <w:lang w:val="pt-BR"/>
        </w:rPr>
        <w:drawing>
          <wp:inline distT="0" distB="0" distL="0" distR="0" wp14:anchorId="6C3E59F5" wp14:editId="2CF54FCA">
            <wp:extent cx="7653655" cy="4292600"/>
            <wp:effectExtent l="0" t="0" r="444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55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8B1" w:rsidRPr="00BC48B1" w:rsidSect="00AB3CEC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594A" w14:textId="77777777" w:rsidR="00465699" w:rsidRDefault="00465699" w:rsidP="00257B77">
      <w:r>
        <w:separator/>
      </w:r>
    </w:p>
    <w:p w14:paraId="54D025A7" w14:textId="77777777" w:rsidR="00465699" w:rsidRDefault="00465699" w:rsidP="00257B77"/>
  </w:endnote>
  <w:endnote w:type="continuationSeparator" w:id="0">
    <w:p w14:paraId="7522D6EC" w14:textId="77777777" w:rsidR="00465699" w:rsidRDefault="00465699" w:rsidP="00257B77">
      <w:r>
        <w:continuationSeparator/>
      </w:r>
    </w:p>
    <w:p w14:paraId="549C096E" w14:textId="77777777" w:rsidR="00465699" w:rsidRDefault="00465699" w:rsidP="00257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pler Std Scn">
    <w:altName w:val="Kepler Std Sc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6E9C" w14:textId="77777777" w:rsidR="0089272C" w:rsidRDefault="008927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38A2" w14:textId="691FD917" w:rsidR="00F86853" w:rsidRDefault="00F86853">
    <w:pPr>
      <w:pStyle w:val="Rodap"/>
      <w:jc w:val="right"/>
    </w:pPr>
  </w:p>
  <w:p w14:paraId="1B69FE50" w14:textId="77777777" w:rsidR="00F86853" w:rsidRDefault="00F868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703826"/>
      <w:docPartObj>
        <w:docPartGallery w:val="Page Numbers (Bottom of Page)"/>
        <w:docPartUnique/>
      </w:docPartObj>
    </w:sdtPr>
    <w:sdtEndPr/>
    <w:sdtContent>
      <w:p w14:paraId="0BE62B01" w14:textId="4495CFEF" w:rsidR="00F86853" w:rsidRDefault="00465699">
        <w:pPr>
          <w:pStyle w:val="Rodap"/>
          <w:jc w:val="right"/>
        </w:pPr>
      </w:p>
    </w:sdtContent>
  </w:sdt>
  <w:p w14:paraId="47BFCC61" w14:textId="37644D96" w:rsidR="00F86853" w:rsidRDefault="00F86853" w:rsidP="00631726">
    <w:pPr>
      <w:pStyle w:val="Rodap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F5E2" w14:textId="77777777" w:rsidR="00F86853" w:rsidRDefault="00F8685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62C21">
      <w:rPr>
        <w:noProof/>
      </w:rPr>
      <w:t>40</w:t>
    </w:r>
    <w:r>
      <w:fldChar w:fldCharType="end"/>
    </w:r>
  </w:p>
  <w:p w14:paraId="40F40960" w14:textId="77777777" w:rsidR="00F86853" w:rsidRDefault="00F868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D55E" w14:textId="77777777" w:rsidR="00465699" w:rsidRDefault="00465699" w:rsidP="00257B77">
      <w:r>
        <w:separator/>
      </w:r>
    </w:p>
    <w:p w14:paraId="5EF37A59" w14:textId="77777777" w:rsidR="00465699" w:rsidRDefault="00465699" w:rsidP="00257B77"/>
  </w:footnote>
  <w:footnote w:type="continuationSeparator" w:id="0">
    <w:p w14:paraId="5E0E90CD" w14:textId="77777777" w:rsidR="00465699" w:rsidRDefault="00465699" w:rsidP="00257B77">
      <w:r>
        <w:continuationSeparator/>
      </w:r>
    </w:p>
    <w:p w14:paraId="6FD5ED8C" w14:textId="77777777" w:rsidR="00465699" w:rsidRDefault="00465699" w:rsidP="00257B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938C" w14:textId="004BD261" w:rsidR="0089272C" w:rsidRDefault="00465699">
    <w:pPr>
      <w:pStyle w:val="Cabealho"/>
    </w:pPr>
    <w:r>
      <w:rPr>
        <w:noProof/>
      </w:rPr>
      <w:pict w14:anchorId="41A8B5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27" o:spid="_x0000_s1039" type="#_x0000_t136" alt="" style="position:absolute;left:0;text-align:left;margin-left:0;margin-top:0;width:527.05pt;height:210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CA5C" w14:textId="1EA0E0E8" w:rsidR="0089272C" w:rsidRDefault="00465699">
    <w:pPr>
      <w:pStyle w:val="Cabealho"/>
    </w:pPr>
    <w:r>
      <w:rPr>
        <w:noProof/>
      </w:rPr>
      <w:pict w14:anchorId="619B5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36" o:spid="_x0000_s1030" type="#_x0000_t136" alt="" style="position:absolute;left:0;text-align:left;margin-left:0;margin-top:0;width:527.05pt;height:210.8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54CA" w14:textId="45D84790" w:rsidR="00F86853" w:rsidRDefault="00465699">
    <w:pPr>
      <w:pStyle w:val="Cabealho"/>
    </w:pPr>
    <w:r>
      <w:rPr>
        <w:noProof/>
      </w:rPr>
      <w:pict w14:anchorId="6D753D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37" o:spid="_x0000_s1029" type="#_x0000_t136" alt="" style="position:absolute;left:0;text-align:left;margin-left:0;margin-top:0;width:527.45pt;height:210.8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A7A2" w14:textId="2A5F5E15" w:rsidR="00F86853" w:rsidRDefault="00465699">
    <w:pPr>
      <w:pStyle w:val="Cabealho"/>
      <w:jc w:val="right"/>
    </w:pPr>
    <w:r>
      <w:rPr>
        <w:noProof/>
      </w:rPr>
      <w:pict w14:anchorId="7CFA53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35" o:spid="_x0000_s1028" type="#_x0000_t136" alt="" style="position:absolute;left:0;text-align:left;margin-left:0;margin-top:0;width:527.05pt;height:210.8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  <w:p w14:paraId="355EBEE1" w14:textId="77777777" w:rsidR="00F86853" w:rsidRDefault="00F86853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F65" w14:textId="1E6784CD" w:rsidR="0089272C" w:rsidRDefault="00465699">
    <w:pPr>
      <w:pStyle w:val="Cabealho"/>
    </w:pPr>
    <w:r>
      <w:rPr>
        <w:noProof/>
      </w:rPr>
      <w:pict w14:anchorId="5DF1C0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39" o:spid="_x0000_s1027" type="#_x0000_t136" alt="" style="position:absolute;left:0;text-align:left;margin-left:0;margin-top:0;width:527.05pt;height:210.8pt;rotation:315;z-index:-251630592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881E" w14:textId="6DE71FE6" w:rsidR="0089272C" w:rsidRDefault="00465699">
    <w:pPr>
      <w:pStyle w:val="Cabealho"/>
    </w:pPr>
    <w:r>
      <w:rPr>
        <w:noProof/>
      </w:rPr>
      <w:pict w14:anchorId="70B1BE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40" o:spid="_x0000_s1026" type="#_x0000_t136" alt="" style="position:absolute;left:0;text-align:left;margin-left:0;margin-top:0;width:527.05pt;height:210.8pt;rotation:315;z-index:-251628544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9B85" w14:textId="3C384924" w:rsidR="00F86853" w:rsidRDefault="00465699">
    <w:pPr>
      <w:pStyle w:val="Cabealho"/>
      <w:jc w:val="right"/>
    </w:pPr>
    <w:r>
      <w:rPr>
        <w:noProof/>
      </w:rPr>
      <w:pict w14:anchorId="300148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38" o:spid="_x0000_s1025" type="#_x0000_t136" alt="" style="position:absolute;left:0;text-align:left;margin-left:0;margin-top:0;width:527.45pt;height:210.8pt;rotation:315;z-index:-251632640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  <w:p w14:paraId="14D8167C" w14:textId="77777777" w:rsidR="00F86853" w:rsidRDefault="00F868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4665" w14:textId="150ED8D8" w:rsidR="0089272C" w:rsidRDefault="00465699">
    <w:pPr>
      <w:pStyle w:val="Cabealho"/>
    </w:pPr>
    <w:r>
      <w:rPr>
        <w:noProof/>
      </w:rPr>
      <w:pict w14:anchorId="0F4CEC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28" o:spid="_x0000_s1038" type="#_x0000_t136" alt="" style="position:absolute;left:0;text-align:left;margin-left:0;margin-top:0;width:527.45pt;height:210.8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0DBA" w14:textId="7D70F6D1" w:rsidR="00F86853" w:rsidRDefault="00465699">
    <w:pPr>
      <w:pStyle w:val="Cabealho"/>
      <w:jc w:val="right"/>
    </w:pPr>
    <w:r>
      <w:rPr>
        <w:noProof/>
      </w:rPr>
      <w:pict w14:anchorId="12713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26" o:spid="_x0000_s1037" type="#_x0000_t136" alt="" style="position:absolute;left:0;text-align:left;margin-left:0;margin-top:0;width:527.45pt;height:210.8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  <w:p w14:paraId="6DF00A58" w14:textId="77777777" w:rsidR="00F86853" w:rsidRDefault="00F8685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EEF5" w14:textId="04A7420F" w:rsidR="0089272C" w:rsidRDefault="00465699">
    <w:pPr>
      <w:pStyle w:val="Cabealho"/>
    </w:pPr>
    <w:r>
      <w:rPr>
        <w:noProof/>
      </w:rPr>
      <w:pict w14:anchorId="03919F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30" o:spid="_x0000_s1036" type="#_x0000_t136" alt="" style="position:absolute;left:0;text-align:left;margin-left:0;margin-top:0;width:527.05pt;height:210.8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2897" w14:textId="79CC7226" w:rsidR="0089272C" w:rsidRDefault="00465699">
    <w:pPr>
      <w:pStyle w:val="Cabealho"/>
    </w:pPr>
    <w:r>
      <w:rPr>
        <w:noProof/>
      </w:rPr>
      <w:pict w14:anchorId="636D7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31" o:spid="_x0000_s1035" type="#_x0000_t136" alt="" style="position:absolute;left:0;text-align:left;margin-left:0;margin-top:0;width:527.45pt;height:210.8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BE3E" w14:textId="21694FF4" w:rsidR="00F86853" w:rsidRDefault="00465699">
    <w:pPr>
      <w:pStyle w:val="Cabealho"/>
      <w:jc w:val="right"/>
    </w:pPr>
    <w:r>
      <w:rPr>
        <w:noProof/>
      </w:rPr>
      <w:pict w14:anchorId="579F9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29" o:spid="_x0000_s1034" type="#_x0000_t136" alt="" style="position:absolute;left:0;text-align:left;margin-left:0;margin-top:0;width:527.05pt;height:210.8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  <w:p w14:paraId="46BD3035" w14:textId="77777777" w:rsidR="00F86853" w:rsidRDefault="00F86853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FA63" w14:textId="37658237" w:rsidR="0089272C" w:rsidRDefault="00465699">
    <w:pPr>
      <w:pStyle w:val="Cabealho"/>
    </w:pPr>
    <w:r>
      <w:rPr>
        <w:noProof/>
      </w:rPr>
      <w:pict w14:anchorId="7E9F11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33" o:spid="_x0000_s1033" type="#_x0000_t136" alt="" style="position:absolute;left:0;text-align:left;margin-left:0;margin-top:0;width:527.05pt;height:210.8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A8BB" w14:textId="19EB8746" w:rsidR="00F86853" w:rsidRDefault="00465699">
    <w:pPr>
      <w:pStyle w:val="Cabealho"/>
    </w:pPr>
    <w:r>
      <w:rPr>
        <w:noProof/>
      </w:rPr>
      <w:pict w14:anchorId="224DB3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34" o:spid="_x0000_s1032" type="#_x0000_t136" alt="" style="position:absolute;left:0;text-align:left;margin-left:0;margin-top:0;width:527.45pt;height:210.8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FAC5" w14:textId="74F57CD2" w:rsidR="0089272C" w:rsidRDefault="00465699">
    <w:pPr>
      <w:pStyle w:val="Cabealho"/>
    </w:pPr>
    <w:r>
      <w:rPr>
        <w:noProof/>
      </w:rPr>
      <w:pict w14:anchorId="2C3B2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0132" o:spid="_x0000_s1031" type="#_x0000_t136" alt="" style="position:absolute;left:0;text-align:left;margin-left:0;margin-top:0;width:527.05pt;height:210.8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A1D"/>
    <w:multiLevelType w:val="hybridMultilevel"/>
    <w:tmpl w:val="D4A08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8706D"/>
    <w:multiLevelType w:val="hybridMultilevel"/>
    <w:tmpl w:val="22CE8A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331E8"/>
    <w:multiLevelType w:val="hybridMultilevel"/>
    <w:tmpl w:val="4A809E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71874"/>
    <w:multiLevelType w:val="hybridMultilevel"/>
    <w:tmpl w:val="7646CDA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E1EC8"/>
    <w:multiLevelType w:val="hybridMultilevel"/>
    <w:tmpl w:val="29CE42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66118"/>
    <w:multiLevelType w:val="hybridMultilevel"/>
    <w:tmpl w:val="426237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F7CAF"/>
    <w:multiLevelType w:val="hybridMultilevel"/>
    <w:tmpl w:val="0F6AB2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585C9F"/>
    <w:multiLevelType w:val="hybridMultilevel"/>
    <w:tmpl w:val="F4947B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A5BEF"/>
    <w:multiLevelType w:val="hybridMultilevel"/>
    <w:tmpl w:val="406CF29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830B3F"/>
    <w:multiLevelType w:val="hybridMultilevel"/>
    <w:tmpl w:val="2E9EEC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777230"/>
    <w:multiLevelType w:val="hybridMultilevel"/>
    <w:tmpl w:val="D8EEE19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827919"/>
    <w:multiLevelType w:val="hybridMultilevel"/>
    <w:tmpl w:val="EC8C3A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A71070"/>
    <w:multiLevelType w:val="hybridMultilevel"/>
    <w:tmpl w:val="807461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EF6347"/>
    <w:multiLevelType w:val="hybridMultilevel"/>
    <w:tmpl w:val="CF2ED4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ED5471"/>
    <w:multiLevelType w:val="hybridMultilevel"/>
    <w:tmpl w:val="20BE9C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F038AF"/>
    <w:multiLevelType w:val="hybridMultilevel"/>
    <w:tmpl w:val="BD26F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3145E5"/>
    <w:multiLevelType w:val="hybridMultilevel"/>
    <w:tmpl w:val="270C7E3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466EFE"/>
    <w:multiLevelType w:val="hybridMultilevel"/>
    <w:tmpl w:val="AFEA50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0460C8"/>
    <w:multiLevelType w:val="hybridMultilevel"/>
    <w:tmpl w:val="F3E2C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C7E81"/>
    <w:multiLevelType w:val="hybridMultilevel"/>
    <w:tmpl w:val="E76CC40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A96995"/>
    <w:multiLevelType w:val="hybridMultilevel"/>
    <w:tmpl w:val="698C7DF2"/>
    <w:lvl w:ilvl="0" w:tplc="10D4D2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225D08"/>
    <w:multiLevelType w:val="hybridMultilevel"/>
    <w:tmpl w:val="9A005D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2125FA"/>
    <w:multiLevelType w:val="hybridMultilevel"/>
    <w:tmpl w:val="64766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A28C7"/>
    <w:multiLevelType w:val="hybridMultilevel"/>
    <w:tmpl w:val="33BC287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52FAF"/>
    <w:multiLevelType w:val="hybridMultilevel"/>
    <w:tmpl w:val="237A8656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63173"/>
    <w:multiLevelType w:val="hybridMultilevel"/>
    <w:tmpl w:val="6CBA8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973E5D"/>
    <w:multiLevelType w:val="hybridMultilevel"/>
    <w:tmpl w:val="815AD1A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DD0F86"/>
    <w:multiLevelType w:val="hybridMultilevel"/>
    <w:tmpl w:val="7F1850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352FCF"/>
    <w:multiLevelType w:val="hybridMultilevel"/>
    <w:tmpl w:val="BC92D4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EC30F2"/>
    <w:multiLevelType w:val="hybridMultilevel"/>
    <w:tmpl w:val="C1EE6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AB5B6F"/>
    <w:multiLevelType w:val="hybridMultilevel"/>
    <w:tmpl w:val="138679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48F009F"/>
    <w:multiLevelType w:val="hybridMultilevel"/>
    <w:tmpl w:val="0166F9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DA6E3E"/>
    <w:multiLevelType w:val="hybridMultilevel"/>
    <w:tmpl w:val="FE26BF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B16897"/>
    <w:multiLevelType w:val="hybridMultilevel"/>
    <w:tmpl w:val="46B898CC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A5E70B0"/>
    <w:multiLevelType w:val="hybridMultilevel"/>
    <w:tmpl w:val="9B78E89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D24CC5"/>
    <w:multiLevelType w:val="hybridMultilevel"/>
    <w:tmpl w:val="D876AB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D9D5E47"/>
    <w:multiLevelType w:val="hybridMultilevel"/>
    <w:tmpl w:val="684CC93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B66D1C"/>
    <w:multiLevelType w:val="hybridMultilevel"/>
    <w:tmpl w:val="CFFEDD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64479"/>
    <w:multiLevelType w:val="hybridMultilevel"/>
    <w:tmpl w:val="3E26AC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08B5487"/>
    <w:multiLevelType w:val="hybridMultilevel"/>
    <w:tmpl w:val="2F960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0872A1"/>
    <w:multiLevelType w:val="hybridMultilevel"/>
    <w:tmpl w:val="B5F06A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473450B"/>
    <w:multiLevelType w:val="hybridMultilevel"/>
    <w:tmpl w:val="02D4E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0625D"/>
    <w:multiLevelType w:val="hybridMultilevel"/>
    <w:tmpl w:val="94AC21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16293E"/>
    <w:multiLevelType w:val="hybridMultilevel"/>
    <w:tmpl w:val="D6F28C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54C3C48"/>
    <w:multiLevelType w:val="hybridMultilevel"/>
    <w:tmpl w:val="B596B0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634110"/>
    <w:multiLevelType w:val="hybridMultilevel"/>
    <w:tmpl w:val="8F0E8B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90800D8"/>
    <w:multiLevelType w:val="hybridMultilevel"/>
    <w:tmpl w:val="0068E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AC7613"/>
    <w:multiLevelType w:val="hybridMultilevel"/>
    <w:tmpl w:val="222AFF6C"/>
    <w:lvl w:ilvl="0" w:tplc="0416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EC938E5"/>
    <w:multiLevelType w:val="hybridMultilevel"/>
    <w:tmpl w:val="F3E43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8A3759"/>
    <w:multiLevelType w:val="hybridMultilevel"/>
    <w:tmpl w:val="126637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0225DF3"/>
    <w:multiLevelType w:val="hybridMultilevel"/>
    <w:tmpl w:val="18ACD426"/>
    <w:lvl w:ilvl="0" w:tplc="332A2DDA">
      <w:start w:val="1"/>
      <w:numFmt w:val="upperRoman"/>
      <w:lvlText w:val="%1."/>
      <w:lvlJc w:val="left"/>
      <w:pPr>
        <w:ind w:left="1004" w:hanging="720"/>
      </w:pPr>
      <w:rPr>
        <w:rFonts w:cs="Arial" w:hint="default"/>
        <w:i w:val="0"/>
        <w:sz w:val="28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A27B9"/>
    <w:multiLevelType w:val="hybridMultilevel"/>
    <w:tmpl w:val="5C268D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326177"/>
    <w:multiLevelType w:val="hybridMultilevel"/>
    <w:tmpl w:val="2932CD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4050C0E"/>
    <w:multiLevelType w:val="hybridMultilevel"/>
    <w:tmpl w:val="72E899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59A3AEE"/>
    <w:multiLevelType w:val="hybridMultilevel"/>
    <w:tmpl w:val="08C48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A55F01"/>
    <w:multiLevelType w:val="hybridMultilevel"/>
    <w:tmpl w:val="F3E2C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755D74"/>
    <w:multiLevelType w:val="hybridMultilevel"/>
    <w:tmpl w:val="E9D65E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370B91"/>
    <w:multiLevelType w:val="hybridMultilevel"/>
    <w:tmpl w:val="B2FAABF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A42085"/>
    <w:multiLevelType w:val="hybridMultilevel"/>
    <w:tmpl w:val="493E31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B81287C"/>
    <w:multiLevelType w:val="hybridMultilevel"/>
    <w:tmpl w:val="BB30A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F63A8"/>
    <w:multiLevelType w:val="hybridMultilevel"/>
    <w:tmpl w:val="BA2838A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CB5682C"/>
    <w:multiLevelType w:val="hybridMultilevel"/>
    <w:tmpl w:val="69C06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CF05C5"/>
    <w:multiLevelType w:val="hybridMultilevel"/>
    <w:tmpl w:val="6824BED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AF7AE5"/>
    <w:multiLevelType w:val="hybridMultilevel"/>
    <w:tmpl w:val="F5BE2C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FB97654"/>
    <w:multiLevelType w:val="hybridMultilevel"/>
    <w:tmpl w:val="B1CE9B36"/>
    <w:lvl w:ilvl="0" w:tplc="86F299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1A1EAC"/>
    <w:multiLevelType w:val="hybridMultilevel"/>
    <w:tmpl w:val="DA00B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280F10"/>
    <w:multiLevelType w:val="hybridMultilevel"/>
    <w:tmpl w:val="14264E38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14F6770"/>
    <w:multiLevelType w:val="hybridMultilevel"/>
    <w:tmpl w:val="20E0AB9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23276E9"/>
    <w:multiLevelType w:val="hybridMultilevel"/>
    <w:tmpl w:val="3BD2302C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37F5A64"/>
    <w:multiLevelType w:val="hybridMultilevel"/>
    <w:tmpl w:val="D9A676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5DE554F"/>
    <w:multiLevelType w:val="hybridMultilevel"/>
    <w:tmpl w:val="DF02D7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62849D9"/>
    <w:multiLevelType w:val="hybridMultilevel"/>
    <w:tmpl w:val="99A6E5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6731181"/>
    <w:multiLevelType w:val="hybridMultilevel"/>
    <w:tmpl w:val="EEB4F4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A4108BD"/>
    <w:multiLevelType w:val="hybridMultilevel"/>
    <w:tmpl w:val="DF8C99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C3744E0"/>
    <w:multiLevelType w:val="hybridMultilevel"/>
    <w:tmpl w:val="EFE60BD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D0F7A"/>
    <w:multiLevelType w:val="hybridMultilevel"/>
    <w:tmpl w:val="412EF6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FA024C3"/>
    <w:multiLevelType w:val="hybridMultilevel"/>
    <w:tmpl w:val="E744C6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FC40F25"/>
    <w:multiLevelType w:val="hybridMultilevel"/>
    <w:tmpl w:val="18ACD426"/>
    <w:lvl w:ilvl="0" w:tplc="332A2DDA">
      <w:start w:val="1"/>
      <w:numFmt w:val="upperRoman"/>
      <w:lvlText w:val="%1."/>
      <w:lvlJc w:val="left"/>
      <w:pPr>
        <w:ind w:left="1004" w:hanging="720"/>
      </w:pPr>
      <w:rPr>
        <w:rFonts w:cs="Arial" w:hint="default"/>
        <w:i w:val="0"/>
        <w:sz w:val="28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411C39"/>
    <w:multiLevelType w:val="hybridMultilevel"/>
    <w:tmpl w:val="57B04F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1C31DD8"/>
    <w:multiLevelType w:val="hybridMultilevel"/>
    <w:tmpl w:val="3C3428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2090142"/>
    <w:multiLevelType w:val="hybridMultilevel"/>
    <w:tmpl w:val="D8802F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37402DA"/>
    <w:multiLevelType w:val="hybridMultilevel"/>
    <w:tmpl w:val="37285D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4A955D7"/>
    <w:multiLevelType w:val="hybridMultilevel"/>
    <w:tmpl w:val="BDFE7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30624E"/>
    <w:multiLevelType w:val="hybridMultilevel"/>
    <w:tmpl w:val="1EC49FD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9E2232"/>
    <w:multiLevelType w:val="hybridMultilevel"/>
    <w:tmpl w:val="030A05B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563BEE"/>
    <w:multiLevelType w:val="hybridMultilevel"/>
    <w:tmpl w:val="907A22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96E366D"/>
    <w:multiLevelType w:val="hybridMultilevel"/>
    <w:tmpl w:val="D6DC53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A5E3D43"/>
    <w:multiLevelType w:val="hybridMultilevel"/>
    <w:tmpl w:val="D1EE2B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B8C7C02"/>
    <w:multiLevelType w:val="hybridMultilevel"/>
    <w:tmpl w:val="540E1D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C8F4484"/>
    <w:multiLevelType w:val="hybridMultilevel"/>
    <w:tmpl w:val="580A0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77021A"/>
    <w:multiLevelType w:val="hybridMultilevel"/>
    <w:tmpl w:val="047A34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DBE3387"/>
    <w:multiLevelType w:val="hybridMultilevel"/>
    <w:tmpl w:val="00CE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1F3710"/>
    <w:multiLevelType w:val="hybridMultilevel"/>
    <w:tmpl w:val="1D1E88DA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ED049C2"/>
    <w:multiLevelType w:val="hybridMultilevel"/>
    <w:tmpl w:val="EDF689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30"/>
  </w:num>
  <w:num w:numId="3">
    <w:abstractNumId w:val="69"/>
  </w:num>
  <w:num w:numId="4">
    <w:abstractNumId w:val="38"/>
  </w:num>
  <w:num w:numId="5">
    <w:abstractNumId w:val="21"/>
  </w:num>
  <w:num w:numId="6">
    <w:abstractNumId w:val="5"/>
  </w:num>
  <w:num w:numId="7">
    <w:abstractNumId w:val="27"/>
  </w:num>
  <w:num w:numId="8">
    <w:abstractNumId w:val="13"/>
  </w:num>
  <w:num w:numId="9">
    <w:abstractNumId w:val="14"/>
  </w:num>
  <w:num w:numId="10">
    <w:abstractNumId w:val="9"/>
  </w:num>
  <w:num w:numId="11">
    <w:abstractNumId w:val="80"/>
  </w:num>
  <w:num w:numId="12">
    <w:abstractNumId w:val="81"/>
  </w:num>
  <w:num w:numId="13">
    <w:abstractNumId w:val="32"/>
  </w:num>
  <w:num w:numId="14">
    <w:abstractNumId w:val="26"/>
  </w:num>
  <w:num w:numId="15">
    <w:abstractNumId w:val="6"/>
  </w:num>
  <w:num w:numId="16">
    <w:abstractNumId w:val="87"/>
  </w:num>
  <w:num w:numId="17">
    <w:abstractNumId w:val="31"/>
  </w:num>
  <w:num w:numId="18">
    <w:abstractNumId w:val="36"/>
  </w:num>
  <w:num w:numId="19">
    <w:abstractNumId w:val="52"/>
  </w:num>
  <w:num w:numId="20">
    <w:abstractNumId w:val="76"/>
  </w:num>
  <w:num w:numId="21">
    <w:abstractNumId w:val="56"/>
  </w:num>
  <w:num w:numId="22">
    <w:abstractNumId w:val="67"/>
  </w:num>
  <w:num w:numId="23">
    <w:abstractNumId w:val="47"/>
  </w:num>
  <w:num w:numId="24">
    <w:abstractNumId w:val="40"/>
  </w:num>
  <w:num w:numId="25">
    <w:abstractNumId w:val="2"/>
  </w:num>
  <w:num w:numId="26">
    <w:abstractNumId w:val="4"/>
  </w:num>
  <w:num w:numId="27">
    <w:abstractNumId w:val="75"/>
  </w:num>
  <w:num w:numId="28">
    <w:abstractNumId w:val="90"/>
  </w:num>
  <w:num w:numId="29">
    <w:abstractNumId w:val="42"/>
  </w:num>
  <w:num w:numId="30">
    <w:abstractNumId w:val="84"/>
  </w:num>
  <w:num w:numId="31">
    <w:abstractNumId w:val="19"/>
  </w:num>
  <w:num w:numId="32">
    <w:abstractNumId w:val="44"/>
  </w:num>
  <w:num w:numId="33">
    <w:abstractNumId w:val="62"/>
  </w:num>
  <w:num w:numId="34">
    <w:abstractNumId w:val="93"/>
  </w:num>
  <w:num w:numId="35">
    <w:abstractNumId w:val="72"/>
  </w:num>
  <w:num w:numId="36">
    <w:abstractNumId w:val="66"/>
  </w:num>
  <w:num w:numId="37">
    <w:abstractNumId w:val="33"/>
  </w:num>
  <w:num w:numId="38">
    <w:abstractNumId w:val="16"/>
  </w:num>
  <w:num w:numId="39">
    <w:abstractNumId w:val="60"/>
  </w:num>
  <w:num w:numId="40">
    <w:abstractNumId w:val="78"/>
  </w:num>
  <w:num w:numId="41">
    <w:abstractNumId w:val="11"/>
  </w:num>
  <w:num w:numId="42">
    <w:abstractNumId w:val="53"/>
  </w:num>
  <w:num w:numId="43">
    <w:abstractNumId w:val="51"/>
  </w:num>
  <w:num w:numId="44">
    <w:abstractNumId w:val="1"/>
  </w:num>
  <w:num w:numId="45">
    <w:abstractNumId w:val="12"/>
  </w:num>
  <w:num w:numId="46">
    <w:abstractNumId w:val="63"/>
  </w:num>
  <w:num w:numId="47">
    <w:abstractNumId w:val="83"/>
  </w:num>
  <w:num w:numId="48">
    <w:abstractNumId w:val="8"/>
  </w:num>
  <w:num w:numId="49">
    <w:abstractNumId w:val="24"/>
  </w:num>
  <w:num w:numId="50">
    <w:abstractNumId w:val="68"/>
  </w:num>
  <w:num w:numId="51">
    <w:abstractNumId w:val="86"/>
  </w:num>
  <w:num w:numId="52">
    <w:abstractNumId w:val="45"/>
  </w:num>
  <w:num w:numId="53">
    <w:abstractNumId w:val="3"/>
  </w:num>
  <w:num w:numId="54">
    <w:abstractNumId w:val="92"/>
  </w:num>
  <w:num w:numId="55">
    <w:abstractNumId w:val="58"/>
  </w:num>
  <w:num w:numId="56">
    <w:abstractNumId w:val="23"/>
  </w:num>
  <w:num w:numId="57">
    <w:abstractNumId w:val="71"/>
  </w:num>
  <w:num w:numId="58">
    <w:abstractNumId w:val="10"/>
  </w:num>
  <w:num w:numId="59">
    <w:abstractNumId w:val="49"/>
  </w:num>
  <w:num w:numId="60">
    <w:abstractNumId w:val="34"/>
  </w:num>
  <w:num w:numId="61">
    <w:abstractNumId w:val="17"/>
  </w:num>
  <w:num w:numId="62">
    <w:abstractNumId w:val="43"/>
  </w:num>
  <w:num w:numId="63">
    <w:abstractNumId w:val="85"/>
  </w:num>
  <w:num w:numId="64">
    <w:abstractNumId w:val="0"/>
  </w:num>
  <w:num w:numId="65">
    <w:abstractNumId w:val="70"/>
  </w:num>
  <w:num w:numId="66">
    <w:abstractNumId w:val="88"/>
  </w:num>
  <w:num w:numId="67">
    <w:abstractNumId w:val="64"/>
  </w:num>
  <w:num w:numId="68">
    <w:abstractNumId w:val="28"/>
  </w:num>
  <w:num w:numId="69">
    <w:abstractNumId w:val="22"/>
  </w:num>
  <w:num w:numId="70">
    <w:abstractNumId w:val="35"/>
  </w:num>
  <w:num w:numId="71">
    <w:abstractNumId w:val="20"/>
  </w:num>
  <w:num w:numId="72">
    <w:abstractNumId w:val="55"/>
  </w:num>
  <w:num w:numId="73">
    <w:abstractNumId w:val="37"/>
  </w:num>
  <w:num w:numId="74">
    <w:abstractNumId w:val="77"/>
  </w:num>
  <w:num w:numId="75">
    <w:abstractNumId w:val="18"/>
  </w:num>
  <w:num w:numId="76">
    <w:abstractNumId w:val="50"/>
  </w:num>
  <w:num w:numId="77">
    <w:abstractNumId w:val="7"/>
  </w:num>
  <w:num w:numId="78">
    <w:abstractNumId w:val="57"/>
  </w:num>
  <w:num w:numId="79">
    <w:abstractNumId w:val="74"/>
  </w:num>
  <w:num w:numId="80">
    <w:abstractNumId w:val="91"/>
  </w:num>
  <w:num w:numId="81">
    <w:abstractNumId w:val="59"/>
  </w:num>
  <w:num w:numId="82">
    <w:abstractNumId w:val="65"/>
  </w:num>
  <w:num w:numId="83">
    <w:abstractNumId w:val="82"/>
  </w:num>
  <w:num w:numId="84">
    <w:abstractNumId w:val="25"/>
  </w:num>
  <w:num w:numId="85">
    <w:abstractNumId w:val="46"/>
  </w:num>
  <w:num w:numId="86">
    <w:abstractNumId w:val="39"/>
  </w:num>
  <w:num w:numId="87">
    <w:abstractNumId w:val="89"/>
  </w:num>
  <w:num w:numId="88">
    <w:abstractNumId w:val="48"/>
  </w:num>
  <w:num w:numId="89">
    <w:abstractNumId w:val="61"/>
  </w:num>
  <w:num w:numId="90">
    <w:abstractNumId w:val="29"/>
  </w:num>
  <w:num w:numId="91">
    <w:abstractNumId w:val="41"/>
  </w:num>
  <w:num w:numId="92">
    <w:abstractNumId w:val="15"/>
  </w:num>
  <w:num w:numId="93">
    <w:abstractNumId w:val="54"/>
  </w:num>
  <w:num w:numId="94">
    <w:abstractNumId w:val="7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1&lt;/EnableBibliographyCategories&gt;&lt;/ENLayout&gt;"/>
    <w:docVar w:name="EN.Libraries" w:val="&lt;Libraries&gt;&lt;item db-id=&quot;s0w0f02pqx9pesepewyvwexlsrvdpvevvvtt&quot;&gt;mestrado Lu&lt;record-ids&gt;&lt;item&gt;3&lt;/item&gt;&lt;item&gt;4&lt;/item&gt;&lt;item&gt;5&lt;/item&gt;&lt;item&gt;6&lt;/item&gt;&lt;item&gt;7&lt;/item&gt;&lt;item&gt;9&lt;/item&gt;&lt;item&gt;10&lt;/item&gt;&lt;item&gt;11&lt;/item&gt;&lt;item&gt;12&lt;/item&gt;&lt;item&gt;13&lt;/item&gt;&lt;item&gt;14&lt;/item&gt;&lt;item&gt;16&lt;/item&gt;&lt;item&gt;17&lt;/item&gt;&lt;item&gt;18&lt;/item&gt;&lt;item&gt;20&lt;/item&gt;&lt;item&gt;21&lt;/item&gt;&lt;item&gt;22&lt;/item&gt;&lt;item&gt;23&lt;/item&gt;&lt;item&gt;24&lt;/item&gt;&lt;item&gt;26&lt;/item&gt;&lt;item&gt;27&lt;/item&gt;&lt;item&gt;32&lt;/item&gt;&lt;item&gt;34&lt;/item&gt;&lt;item&gt;35&lt;/item&gt;&lt;item&gt;36&lt;/item&gt;&lt;item&gt;37&lt;/item&gt;&lt;item&gt;43&lt;/item&gt;&lt;item&gt;47&lt;/item&gt;&lt;item&gt;49&lt;/item&gt;&lt;item&gt;51&lt;/item&gt;&lt;item&gt;52&lt;/item&gt;&lt;item&gt;53&lt;/item&gt;&lt;item&gt;55&lt;/item&gt;&lt;item&gt;56&lt;/item&gt;&lt;item&gt;57&lt;/item&gt;&lt;item&gt;61&lt;/item&gt;&lt;item&gt;63&lt;/item&gt;&lt;item&gt;64&lt;/item&gt;&lt;item&gt;75&lt;/item&gt;&lt;item&gt;79&lt;/item&gt;&lt;item&gt;83&lt;/item&gt;&lt;item&gt;84&lt;/item&gt;&lt;item&gt;86&lt;/item&gt;&lt;item&gt;87&lt;/item&gt;&lt;item&gt;88&lt;/item&gt;&lt;item&gt;89&lt;/item&gt;&lt;item&gt;90&lt;/item&gt;&lt;item&gt;92&lt;/item&gt;&lt;item&gt;129&lt;/item&gt;&lt;item&gt;131&lt;/item&gt;&lt;item&gt;132&lt;/item&gt;&lt;item&gt;133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8A25D6"/>
    <w:rsid w:val="00001702"/>
    <w:rsid w:val="00001723"/>
    <w:rsid w:val="000036CE"/>
    <w:rsid w:val="000039BC"/>
    <w:rsid w:val="0000432B"/>
    <w:rsid w:val="0000483D"/>
    <w:rsid w:val="000060AB"/>
    <w:rsid w:val="000068B7"/>
    <w:rsid w:val="00007EC6"/>
    <w:rsid w:val="000106CE"/>
    <w:rsid w:val="000109F1"/>
    <w:rsid w:val="00012B4E"/>
    <w:rsid w:val="00013235"/>
    <w:rsid w:val="0001489F"/>
    <w:rsid w:val="00014AAA"/>
    <w:rsid w:val="00014F0F"/>
    <w:rsid w:val="000151AA"/>
    <w:rsid w:val="0001569C"/>
    <w:rsid w:val="000157C3"/>
    <w:rsid w:val="00017B3E"/>
    <w:rsid w:val="00021B0E"/>
    <w:rsid w:val="00021C1D"/>
    <w:rsid w:val="0002219E"/>
    <w:rsid w:val="00023108"/>
    <w:rsid w:val="0002340C"/>
    <w:rsid w:val="00023612"/>
    <w:rsid w:val="00025706"/>
    <w:rsid w:val="00025D61"/>
    <w:rsid w:val="00026311"/>
    <w:rsid w:val="00027626"/>
    <w:rsid w:val="00027E07"/>
    <w:rsid w:val="00030584"/>
    <w:rsid w:val="00030A47"/>
    <w:rsid w:val="000319E6"/>
    <w:rsid w:val="000323DA"/>
    <w:rsid w:val="000323ED"/>
    <w:rsid w:val="00034B48"/>
    <w:rsid w:val="00035537"/>
    <w:rsid w:val="00040808"/>
    <w:rsid w:val="00040D3B"/>
    <w:rsid w:val="000413D3"/>
    <w:rsid w:val="00041806"/>
    <w:rsid w:val="00041B13"/>
    <w:rsid w:val="00042AA1"/>
    <w:rsid w:val="0004341C"/>
    <w:rsid w:val="00043C10"/>
    <w:rsid w:val="00044217"/>
    <w:rsid w:val="00045115"/>
    <w:rsid w:val="00047B4B"/>
    <w:rsid w:val="00047C95"/>
    <w:rsid w:val="00050744"/>
    <w:rsid w:val="00050905"/>
    <w:rsid w:val="00051809"/>
    <w:rsid w:val="00051958"/>
    <w:rsid w:val="00051DE0"/>
    <w:rsid w:val="0005381B"/>
    <w:rsid w:val="00053CE8"/>
    <w:rsid w:val="00054B0F"/>
    <w:rsid w:val="000553C2"/>
    <w:rsid w:val="000554FA"/>
    <w:rsid w:val="000565E3"/>
    <w:rsid w:val="00056CA0"/>
    <w:rsid w:val="00057099"/>
    <w:rsid w:val="00060E31"/>
    <w:rsid w:val="000613D4"/>
    <w:rsid w:val="00061CF6"/>
    <w:rsid w:val="00062E93"/>
    <w:rsid w:val="00070A4A"/>
    <w:rsid w:val="000728AB"/>
    <w:rsid w:val="00074B94"/>
    <w:rsid w:val="00076A90"/>
    <w:rsid w:val="00076DF0"/>
    <w:rsid w:val="000771E4"/>
    <w:rsid w:val="00077B54"/>
    <w:rsid w:val="0008196E"/>
    <w:rsid w:val="00081AE9"/>
    <w:rsid w:val="00083F04"/>
    <w:rsid w:val="00084072"/>
    <w:rsid w:val="00084C60"/>
    <w:rsid w:val="00085F1A"/>
    <w:rsid w:val="00086643"/>
    <w:rsid w:val="00086D5E"/>
    <w:rsid w:val="00087544"/>
    <w:rsid w:val="000904FA"/>
    <w:rsid w:val="0009401D"/>
    <w:rsid w:val="0009491E"/>
    <w:rsid w:val="00096D52"/>
    <w:rsid w:val="0009759F"/>
    <w:rsid w:val="000A0EBA"/>
    <w:rsid w:val="000A17FA"/>
    <w:rsid w:val="000A19F2"/>
    <w:rsid w:val="000A2017"/>
    <w:rsid w:val="000A2734"/>
    <w:rsid w:val="000A43F2"/>
    <w:rsid w:val="000A48D3"/>
    <w:rsid w:val="000A4B00"/>
    <w:rsid w:val="000A5A93"/>
    <w:rsid w:val="000A6755"/>
    <w:rsid w:val="000A7CF3"/>
    <w:rsid w:val="000B156C"/>
    <w:rsid w:val="000B2A9F"/>
    <w:rsid w:val="000B30CF"/>
    <w:rsid w:val="000B43EA"/>
    <w:rsid w:val="000B5FD6"/>
    <w:rsid w:val="000B6F3A"/>
    <w:rsid w:val="000B7DC9"/>
    <w:rsid w:val="000C0A7E"/>
    <w:rsid w:val="000C157B"/>
    <w:rsid w:val="000C2AC1"/>
    <w:rsid w:val="000C44F7"/>
    <w:rsid w:val="000C736C"/>
    <w:rsid w:val="000D120F"/>
    <w:rsid w:val="000D1B7A"/>
    <w:rsid w:val="000D2C8F"/>
    <w:rsid w:val="000D2C91"/>
    <w:rsid w:val="000D763D"/>
    <w:rsid w:val="000D7714"/>
    <w:rsid w:val="000E03B1"/>
    <w:rsid w:val="000E0926"/>
    <w:rsid w:val="000E0C91"/>
    <w:rsid w:val="000E2120"/>
    <w:rsid w:val="000E2421"/>
    <w:rsid w:val="000E2D9E"/>
    <w:rsid w:val="000E30EE"/>
    <w:rsid w:val="000E3DB1"/>
    <w:rsid w:val="000E4BA9"/>
    <w:rsid w:val="000E5420"/>
    <w:rsid w:val="000E5928"/>
    <w:rsid w:val="000F1A4C"/>
    <w:rsid w:val="000F2A98"/>
    <w:rsid w:val="000F3ECB"/>
    <w:rsid w:val="000F6397"/>
    <w:rsid w:val="000F65A2"/>
    <w:rsid w:val="000F7AC1"/>
    <w:rsid w:val="001002B0"/>
    <w:rsid w:val="00100E3F"/>
    <w:rsid w:val="001011A0"/>
    <w:rsid w:val="0010236F"/>
    <w:rsid w:val="0010521D"/>
    <w:rsid w:val="00105F0F"/>
    <w:rsid w:val="00106484"/>
    <w:rsid w:val="001067CB"/>
    <w:rsid w:val="00106DD8"/>
    <w:rsid w:val="001100A8"/>
    <w:rsid w:val="00110BD6"/>
    <w:rsid w:val="0011130F"/>
    <w:rsid w:val="00113AB2"/>
    <w:rsid w:val="00113E0C"/>
    <w:rsid w:val="001149AD"/>
    <w:rsid w:val="00114D8B"/>
    <w:rsid w:val="001169F5"/>
    <w:rsid w:val="00116C3D"/>
    <w:rsid w:val="00117365"/>
    <w:rsid w:val="001210DA"/>
    <w:rsid w:val="001238FC"/>
    <w:rsid w:val="00125F72"/>
    <w:rsid w:val="00130A71"/>
    <w:rsid w:val="001316F0"/>
    <w:rsid w:val="0013228E"/>
    <w:rsid w:val="001322BE"/>
    <w:rsid w:val="00132CE2"/>
    <w:rsid w:val="001346AA"/>
    <w:rsid w:val="00135A06"/>
    <w:rsid w:val="001361D9"/>
    <w:rsid w:val="001365D1"/>
    <w:rsid w:val="001401CA"/>
    <w:rsid w:val="0014156C"/>
    <w:rsid w:val="00141D33"/>
    <w:rsid w:val="00142B16"/>
    <w:rsid w:val="00144BAB"/>
    <w:rsid w:val="00144D01"/>
    <w:rsid w:val="001454AB"/>
    <w:rsid w:val="00145EAB"/>
    <w:rsid w:val="001470F9"/>
    <w:rsid w:val="00147BA7"/>
    <w:rsid w:val="0015055A"/>
    <w:rsid w:val="001528D2"/>
    <w:rsid w:val="00152EAB"/>
    <w:rsid w:val="00154387"/>
    <w:rsid w:val="00154AA5"/>
    <w:rsid w:val="00155C8F"/>
    <w:rsid w:val="00156705"/>
    <w:rsid w:val="0015730A"/>
    <w:rsid w:val="00157B83"/>
    <w:rsid w:val="00160DB5"/>
    <w:rsid w:val="001610CE"/>
    <w:rsid w:val="0016194F"/>
    <w:rsid w:val="00167C26"/>
    <w:rsid w:val="00167E9B"/>
    <w:rsid w:val="00170F3E"/>
    <w:rsid w:val="00171864"/>
    <w:rsid w:val="00173054"/>
    <w:rsid w:val="0017506E"/>
    <w:rsid w:val="00175B00"/>
    <w:rsid w:val="00180369"/>
    <w:rsid w:val="00180A1D"/>
    <w:rsid w:val="00182790"/>
    <w:rsid w:val="00185D1A"/>
    <w:rsid w:val="00187917"/>
    <w:rsid w:val="00190BF5"/>
    <w:rsid w:val="00190E30"/>
    <w:rsid w:val="00191634"/>
    <w:rsid w:val="00191A21"/>
    <w:rsid w:val="00192C56"/>
    <w:rsid w:val="001A0064"/>
    <w:rsid w:val="001A06B0"/>
    <w:rsid w:val="001A11E2"/>
    <w:rsid w:val="001A1FDE"/>
    <w:rsid w:val="001A253B"/>
    <w:rsid w:val="001A2BB9"/>
    <w:rsid w:val="001A774D"/>
    <w:rsid w:val="001B0879"/>
    <w:rsid w:val="001B3288"/>
    <w:rsid w:val="001B365C"/>
    <w:rsid w:val="001B3A69"/>
    <w:rsid w:val="001B4894"/>
    <w:rsid w:val="001B7269"/>
    <w:rsid w:val="001B7A0E"/>
    <w:rsid w:val="001C0A46"/>
    <w:rsid w:val="001C24F2"/>
    <w:rsid w:val="001C2583"/>
    <w:rsid w:val="001C262A"/>
    <w:rsid w:val="001C2768"/>
    <w:rsid w:val="001C3186"/>
    <w:rsid w:val="001C3974"/>
    <w:rsid w:val="001C3A0A"/>
    <w:rsid w:val="001C3C2F"/>
    <w:rsid w:val="001C4D27"/>
    <w:rsid w:val="001C6411"/>
    <w:rsid w:val="001C6868"/>
    <w:rsid w:val="001D0468"/>
    <w:rsid w:val="001D0EF9"/>
    <w:rsid w:val="001D2968"/>
    <w:rsid w:val="001D2F3A"/>
    <w:rsid w:val="001D3B4B"/>
    <w:rsid w:val="001D41EC"/>
    <w:rsid w:val="001D54A3"/>
    <w:rsid w:val="001D59CA"/>
    <w:rsid w:val="001E016C"/>
    <w:rsid w:val="001E02AE"/>
    <w:rsid w:val="001E169F"/>
    <w:rsid w:val="001E21CB"/>
    <w:rsid w:val="001E35B6"/>
    <w:rsid w:val="001E45FB"/>
    <w:rsid w:val="001E4892"/>
    <w:rsid w:val="001E4E08"/>
    <w:rsid w:val="001E51AE"/>
    <w:rsid w:val="001E6D6E"/>
    <w:rsid w:val="001E6F3E"/>
    <w:rsid w:val="001E7B5D"/>
    <w:rsid w:val="001F0E50"/>
    <w:rsid w:val="001F141A"/>
    <w:rsid w:val="001F2008"/>
    <w:rsid w:val="001F2515"/>
    <w:rsid w:val="001F476D"/>
    <w:rsid w:val="001F4C6D"/>
    <w:rsid w:val="001F76AF"/>
    <w:rsid w:val="00200EBF"/>
    <w:rsid w:val="00202076"/>
    <w:rsid w:val="002023E1"/>
    <w:rsid w:val="00204987"/>
    <w:rsid w:val="002069BC"/>
    <w:rsid w:val="002079DA"/>
    <w:rsid w:val="00207E36"/>
    <w:rsid w:val="002113CC"/>
    <w:rsid w:val="00211FF5"/>
    <w:rsid w:val="0021321A"/>
    <w:rsid w:val="00213235"/>
    <w:rsid w:val="002134BD"/>
    <w:rsid w:val="00214180"/>
    <w:rsid w:val="00215F49"/>
    <w:rsid w:val="002201C5"/>
    <w:rsid w:val="00220CA3"/>
    <w:rsid w:val="00222A9C"/>
    <w:rsid w:val="00225438"/>
    <w:rsid w:val="002310D7"/>
    <w:rsid w:val="002315D8"/>
    <w:rsid w:val="00231F17"/>
    <w:rsid w:val="00232A3F"/>
    <w:rsid w:val="00233837"/>
    <w:rsid w:val="002338F9"/>
    <w:rsid w:val="00233EAF"/>
    <w:rsid w:val="00234562"/>
    <w:rsid w:val="002345B0"/>
    <w:rsid w:val="002347A8"/>
    <w:rsid w:val="0023544C"/>
    <w:rsid w:val="00236275"/>
    <w:rsid w:val="00237F67"/>
    <w:rsid w:val="00240FE9"/>
    <w:rsid w:val="00242E55"/>
    <w:rsid w:val="002436BB"/>
    <w:rsid w:val="002445AF"/>
    <w:rsid w:val="0024530D"/>
    <w:rsid w:val="00245803"/>
    <w:rsid w:val="00245F5E"/>
    <w:rsid w:val="00246AA8"/>
    <w:rsid w:val="00250BF2"/>
    <w:rsid w:val="002519CD"/>
    <w:rsid w:val="00251CE0"/>
    <w:rsid w:val="00251D80"/>
    <w:rsid w:val="0025304A"/>
    <w:rsid w:val="0025385D"/>
    <w:rsid w:val="002538FA"/>
    <w:rsid w:val="00253F59"/>
    <w:rsid w:val="00254F0F"/>
    <w:rsid w:val="00256392"/>
    <w:rsid w:val="00257B77"/>
    <w:rsid w:val="00260A78"/>
    <w:rsid w:val="002620C6"/>
    <w:rsid w:val="002636BF"/>
    <w:rsid w:val="00266780"/>
    <w:rsid w:val="00266D3C"/>
    <w:rsid w:val="00267BDD"/>
    <w:rsid w:val="0027061C"/>
    <w:rsid w:val="00271BCC"/>
    <w:rsid w:val="00273AD2"/>
    <w:rsid w:val="00274435"/>
    <w:rsid w:val="00274E57"/>
    <w:rsid w:val="00275178"/>
    <w:rsid w:val="002755F8"/>
    <w:rsid w:val="00275981"/>
    <w:rsid w:val="00276418"/>
    <w:rsid w:val="00277FD5"/>
    <w:rsid w:val="00281CA9"/>
    <w:rsid w:val="00283CCA"/>
    <w:rsid w:val="00283F7F"/>
    <w:rsid w:val="0028447B"/>
    <w:rsid w:val="00284F76"/>
    <w:rsid w:val="002857F9"/>
    <w:rsid w:val="00285AF2"/>
    <w:rsid w:val="002867B0"/>
    <w:rsid w:val="00287044"/>
    <w:rsid w:val="0028797C"/>
    <w:rsid w:val="002912CC"/>
    <w:rsid w:val="0029172C"/>
    <w:rsid w:val="00291884"/>
    <w:rsid w:val="00291945"/>
    <w:rsid w:val="00292878"/>
    <w:rsid w:val="002928AB"/>
    <w:rsid w:val="00293925"/>
    <w:rsid w:val="00293E60"/>
    <w:rsid w:val="00294119"/>
    <w:rsid w:val="0029606F"/>
    <w:rsid w:val="002A0EB8"/>
    <w:rsid w:val="002A1014"/>
    <w:rsid w:val="002A211E"/>
    <w:rsid w:val="002A2751"/>
    <w:rsid w:val="002A416E"/>
    <w:rsid w:val="002A531F"/>
    <w:rsid w:val="002A5AE5"/>
    <w:rsid w:val="002A743D"/>
    <w:rsid w:val="002B1422"/>
    <w:rsid w:val="002B1561"/>
    <w:rsid w:val="002B2A3D"/>
    <w:rsid w:val="002B2C98"/>
    <w:rsid w:val="002B3FD2"/>
    <w:rsid w:val="002B40D7"/>
    <w:rsid w:val="002B609B"/>
    <w:rsid w:val="002C04E3"/>
    <w:rsid w:val="002C19AF"/>
    <w:rsid w:val="002C1DE9"/>
    <w:rsid w:val="002C21B4"/>
    <w:rsid w:val="002C24C0"/>
    <w:rsid w:val="002C271E"/>
    <w:rsid w:val="002C2908"/>
    <w:rsid w:val="002C3A78"/>
    <w:rsid w:val="002C4364"/>
    <w:rsid w:val="002C4762"/>
    <w:rsid w:val="002C4A0F"/>
    <w:rsid w:val="002C5014"/>
    <w:rsid w:val="002C625B"/>
    <w:rsid w:val="002C62A1"/>
    <w:rsid w:val="002D0F96"/>
    <w:rsid w:val="002D15BA"/>
    <w:rsid w:val="002D26ED"/>
    <w:rsid w:val="002D324F"/>
    <w:rsid w:val="002D4621"/>
    <w:rsid w:val="002D68B1"/>
    <w:rsid w:val="002D6D5A"/>
    <w:rsid w:val="002D75DF"/>
    <w:rsid w:val="002E104D"/>
    <w:rsid w:val="002E2839"/>
    <w:rsid w:val="002E3911"/>
    <w:rsid w:val="002E397B"/>
    <w:rsid w:val="002E3EA0"/>
    <w:rsid w:val="002E4794"/>
    <w:rsid w:val="002F0578"/>
    <w:rsid w:val="002F0B8F"/>
    <w:rsid w:val="002F17DE"/>
    <w:rsid w:val="002F35EA"/>
    <w:rsid w:val="002F39F7"/>
    <w:rsid w:val="002F3CB0"/>
    <w:rsid w:val="002F4802"/>
    <w:rsid w:val="002F53E9"/>
    <w:rsid w:val="002F7392"/>
    <w:rsid w:val="002F7784"/>
    <w:rsid w:val="002F7C7D"/>
    <w:rsid w:val="002F7E35"/>
    <w:rsid w:val="003006DC"/>
    <w:rsid w:val="003007BC"/>
    <w:rsid w:val="003010CA"/>
    <w:rsid w:val="003018E6"/>
    <w:rsid w:val="00302CB2"/>
    <w:rsid w:val="00303A3C"/>
    <w:rsid w:val="00304971"/>
    <w:rsid w:val="00304B59"/>
    <w:rsid w:val="00306600"/>
    <w:rsid w:val="003114CE"/>
    <w:rsid w:val="003129E9"/>
    <w:rsid w:val="00312A9E"/>
    <w:rsid w:val="00314784"/>
    <w:rsid w:val="003150D7"/>
    <w:rsid w:val="00315AC8"/>
    <w:rsid w:val="00315BE9"/>
    <w:rsid w:val="00316FD8"/>
    <w:rsid w:val="0031781A"/>
    <w:rsid w:val="00320BCA"/>
    <w:rsid w:val="003210D2"/>
    <w:rsid w:val="003262B6"/>
    <w:rsid w:val="0033038F"/>
    <w:rsid w:val="0033109E"/>
    <w:rsid w:val="00331B5A"/>
    <w:rsid w:val="00332947"/>
    <w:rsid w:val="00332BA2"/>
    <w:rsid w:val="00332BAE"/>
    <w:rsid w:val="003342E7"/>
    <w:rsid w:val="00334BB3"/>
    <w:rsid w:val="003354B8"/>
    <w:rsid w:val="00336276"/>
    <w:rsid w:val="00336A46"/>
    <w:rsid w:val="003372D0"/>
    <w:rsid w:val="003379EA"/>
    <w:rsid w:val="00337B54"/>
    <w:rsid w:val="0034099A"/>
    <w:rsid w:val="0034190E"/>
    <w:rsid w:val="00342576"/>
    <w:rsid w:val="00342DB5"/>
    <w:rsid w:val="00343340"/>
    <w:rsid w:val="00343E10"/>
    <w:rsid w:val="0034418C"/>
    <w:rsid w:val="00345BEE"/>
    <w:rsid w:val="00346C9F"/>
    <w:rsid w:val="003508B3"/>
    <w:rsid w:val="00350FFD"/>
    <w:rsid w:val="00351336"/>
    <w:rsid w:val="00351BEA"/>
    <w:rsid w:val="003522FC"/>
    <w:rsid w:val="00353A23"/>
    <w:rsid w:val="00353ABE"/>
    <w:rsid w:val="00354493"/>
    <w:rsid w:val="003558D8"/>
    <w:rsid w:val="003565B6"/>
    <w:rsid w:val="00356F1F"/>
    <w:rsid w:val="003573C8"/>
    <w:rsid w:val="00357D3C"/>
    <w:rsid w:val="003605AF"/>
    <w:rsid w:val="00360A3C"/>
    <w:rsid w:val="003610E1"/>
    <w:rsid w:val="003621E1"/>
    <w:rsid w:val="00362ADB"/>
    <w:rsid w:val="00363944"/>
    <w:rsid w:val="003641E1"/>
    <w:rsid w:val="00364C25"/>
    <w:rsid w:val="003656F3"/>
    <w:rsid w:val="00366F41"/>
    <w:rsid w:val="0037108F"/>
    <w:rsid w:val="003716FC"/>
    <w:rsid w:val="0037205C"/>
    <w:rsid w:val="00375FB6"/>
    <w:rsid w:val="0037689F"/>
    <w:rsid w:val="00377FB2"/>
    <w:rsid w:val="00381019"/>
    <w:rsid w:val="003813E4"/>
    <w:rsid w:val="00382372"/>
    <w:rsid w:val="00382497"/>
    <w:rsid w:val="00385143"/>
    <w:rsid w:val="00385219"/>
    <w:rsid w:val="00385553"/>
    <w:rsid w:val="00386E68"/>
    <w:rsid w:val="0039065C"/>
    <w:rsid w:val="00392946"/>
    <w:rsid w:val="003936FE"/>
    <w:rsid w:val="003940A5"/>
    <w:rsid w:val="0039487A"/>
    <w:rsid w:val="00395BD8"/>
    <w:rsid w:val="00396441"/>
    <w:rsid w:val="00397BCB"/>
    <w:rsid w:val="00397DCE"/>
    <w:rsid w:val="003A0F0B"/>
    <w:rsid w:val="003A1F05"/>
    <w:rsid w:val="003A2805"/>
    <w:rsid w:val="003A2FE3"/>
    <w:rsid w:val="003A387E"/>
    <w:rsid w:val="003A447A"/>
    <w:rsid w:val="003A4890"/>
    <w:rsid w:val="003A5958"/>
    <w:rsid w:val="003A6770"/>
    <w:rsid w:val="003A67CB"/>
    <w:rsid w:val="003A696B"/>
    <w:rsid w:val="003A6D15"/>
    <w:rsid w:val="003A7B34"/>
    <w:rsid w:val="003B23B5"/>
    <w:rsid w:val="003B32AE"/>
    <w:rsid w:val="003B3EAB"/>
    <w:rsid w:val="003B4F70"/>
    <w:rsid w:val="003B501F"/>
    <w:rsid w:val="003B6121"/>
    <w:rsid w:val="003B739E"/>
    <w:rsid w:val="003C08A5"/>
    <w:rsid w:val="003C093C"/>
    <w:rsid w:val="003C096B"/>
    <w:rsid w:val="003C0B8A"/>
    <w:rsid w:val="003C3C54"/>
    <w:rsid w:val="003C4BE2"/>
    <w:rsid w:val="003C4E89"/>
    <w:rsid w:val="003C4F01"/>
    <w:rsid w:val="003C6960"/>
    <w:rsid w:val="003C6E78"/>
    <w:rsid w:val="003C7158"/>
    <w:rsid w:val="003C7BB7"/>
    <w:rsid w:val="003D0E9F"/>
    <w:rsid w:val="003D21A1"/>
    <w:rsid w:val="003D2889"/>
    <w:rsid w:val="003D2992"/>
    <w:rsid w:val="003D3A40"/>
    <w:rsid w:val="003D3CBC"/>
    <w:rsid w:val="003D5442"/>
    <w:rsid w:val="003D6244"/>
    <w:rsid w:val="003D6880"/>
    <w:rsid w:val="003D76FE"/>
    <w:rsid w:val="003D78AC"/>
    <w:rsid w:val="003E00F8"/>
    <w:rsid w:val="003E0295"/>
    <w:rsid w:val="003E0361"/>
    <w:rsid w:val="003E08A9"/>
    <w:rsid w:val="003E2DE1"/>
    <w:rsid w:val="003E3A5B"/>
    <w:rsid w:val="003E5A07"/>
    <w:rsid w:val="003E69E8"/>
    <w:rsid w:val="003E6A9D"/>
    <w:rsid w:val="003E78A5"/>
    <w:rsid w:val="003F0210"/>
    <w:rsid w:val="003F043A"/>
    <w:rsid w:val="003F158D"/>
    <w:rsid w:val="003F4AFD"/>
    <w:rsid w:val="003F5B50"/>
    <w:rsid w:val="0040160E"/>
    <w:rsid w:val="00401EDA"/>
    <w:rsid w:val="004023D4"/>
    <w:rsid w:val="004033B2"/>
    <w:rsid w:val="0040395D"/>
    <w:rsid w:val="004043A3"/>
    <w:rsid w:val="00404A3E"/>
    <w:rsid w:val="00405527"/>
    <w:rsid w:val="00405DE8"/>
    <w:rsid w:val="00405E1A"/>
    <w:rsid w:val="004063C2"/>
    <w:rsid w:val="004067D6"/>
    <w:rsid w:val="0041017F"/>
    <w:rsid w:val="0041056A"/>
    <w:rsid w:val="00411354"/>
    <w:rsid w:val="004127F0"/>
    <w:rsid w:val="004153D0"/>
    <w:rsid w:val="00416AB5"/>
    <w:rsid w:val="00417388"/>
    <w:rsid w:val="00417B77"/>
    <w:rsid w:val="00420415"/>
    <w:rsid w:val="0042073D"/>
    <w:rsid w:val="00420922"/>
    <w:rsid w:val="004214EA"/>
    <w:rsid w:val="004217DC"/>
    <w:rsid w:val="004219A3"/>
    <w:rsid w:val="00421E58"/>
    <w:rsid w:val="00422236"/>
    <w:rsid w:val="00423636"/>
    <w:rsid w:val="00423A1E"/>
    <w:rsid w:val="004245E6"/>
    <w:rsid w:val="00424FBD"/>
    <w:rsid w:val="00427238"/>
    <w:rsid w:val="004273D8"/>
    <w:rsid w:val="00430274"/>
    <w:rsid w:val="004308B7"/>
    <w:rsid w:val="00431193"/>
    <w:rsid w:val="00431195"/>
    <w:rsid w:val="004323BF"/>
    <w:rsid w:val="00432530"/>
    <w:rsid w:val="004341C2"/>
    <w:rsid w:val="00434F26"/>
    <w:rsid w:val="00437A03"/>
    <w:rsid w:val="00437CFD"/>
    <w:rsid w:val="004402D7"/>
    <w:rsid w:val="0044073D"/>
    <w:rsid w:val="00440A2B"/>
    <w:rsid w:val="00440A99"/>
    <w:rsid w:val="00440CF4"/>
    <w:rsid w:val="00440E8F"/>
    <w:rsid w:val="0044195D"/>
    <w:rsid w:val="00441C0A"/>
    <w:rsid w:val="0044421B"/>
    <w:rsid w:val="00444780"/>
    <w:rsid w:val="00444D67"/>
    <w:rsid w:val="00446260"/>
    <w:rsid w:val="004501D4"/>
    <w:rsid w:val="004511C3"/>
    <w:rsid w:val="00452974"/>
    <w:rsid w:val="004532F2"/>
    <w:rsid w:val="00455C77"/>
    <w:rsid w:val="00455CBA"/>
    <w:rsid w:val="00456A28"/>
    <w:rsid w:val="00460B0F"/>
    <w:rsid w:val="00460FD6"/>
    <w:rsid w:val="00463781"/>
    <w:rsid w:val="00463AA5"/>
    <w:rsid w:val="004641DE"/>
    <w:rsid w:val="00465699"/>
    <w:rsid w:val="00465FD2"/>
    <w:rsid w:val="00466B2D"/>
    <w:rsid w:val="00467463"/>
    <w:rsid w:val="004701AA"/>
    <w:rsid w:val="004701E2"/>
    <w:rsid w:val="00470C40"/>
    <w:rsid w:val="00470E45"/>
    <w:rsid w:val="00471E74"/>
    <w:rsid w:val="0047304C"/>
    <w:rsid w:val="004734C9"/>
    <w:rsid w:val="00473588"/>
    <w:rsid w:val="004739C8"/>
    <w:rsid w:val="00473C01"/>
    <w:rsid w:val="00473E54"/>
    <w:rsid w:val="00475A06"/>
    <w:rsid w:val="00480EB2"/>
    <w:rsid w:val="0048238E"/>
    <w:rsid w:val="00482B93"/>
    <w:rsid w:val="00483E69"/>
    <w:rsid w:val="00484A8F"/>
    <w:rsid w:val="00485747"/>
    <w:rsid w:val="004862E0"/>
    <w:rsid w:val="00487F02"/>
    <w:rsid w:val="0049088E"/>
    <w:rsid w:val="0049215D"/>
    <w:rsid w:val="004930CB"/>
    <w:rsid w:val="0049385D"/>
    <w:rsid w:val="0049498C"/>
    <w:rsid w:val="00494AF8"/>
    <w:rsid w:val="00495667"/>
    <w:rsid w:val="00495999"/>
    <w:rsid w:val="00495DAC"/>
    <w:rsid w:val="00496119"/>
    <w:rsid w:val="004972E1"/>
    <w:rsid w:val="004A0236"/>
    <w:rsid w:val="004A35BE"/>
    <w:rsid w:val="004A35E1"/>
    <w:rsid w:val="004A48CB"/>
    <w:rsid w:val="004A5221"/>
    <w:rsid w:val="004A5843"/>
    <w:rsid w:val="004A5D1A"/>
    <w:rsid w:val="004A7044"/>
    <w:rsid w:val="004A79EE"/>
    <w:rsid w:val="004B059E"/>
    <w:rsid w:val="004B0D49"/>
    <w:rsid w:val="004B0F5C"/>
    <w:rsid w:val="004B2AB4"/>
    <w:rsid w:val="004B372A"/>
    <w:rsid w:val="004B38C0"/>
    <w:rsid w:val="004B4504"/>
    <w:rsid w:val="004B4916"/>
    <w:rsid w:val="004B4A00"/>
    <w:rsid w:val="004B4B96"/>
    <w:rsid w:val="004B4E99"/>
    <w:rsid w:val="004B5B0D"/>
    <w:rsid w:val="004B7482"/>
    <w:rsid w:val="004B7F2A"/>
    <w:rsid w:val="004C2169"/>
    <w:rsid w:val="004C2B81"/>
    <w:rsid w:val="004C2EAA"/>
    <w:rsid w:val="004C418E"/>
    <w:rsid w:val="004C737A"/>
    <w:rsid w:val="004C74F1"/>
    <w:rsid w:val="004C7DD7"/>
    <w:rsid w:val="004C7F67"/>
    <w:rsid w:val="004D1967"/>
    <w:rsid w:val="004D2093"/>
    <w:rsid w:val="004D3866"/>
    <w:rsid w:val="004D3F28"/>
    <w:rsid w:val="004D446E"/>
    <w:rsid w:val="004D5F03"/>
    <w:rsid w:val="004D6080"/>
    <w:rsid w:val="004D7090"/>
    <w:rsid w:val="004D76CE"/>
    <w:rsid w:val="004E07D9"/>
    <w:rsid w:val="004E3F5E"/>
    <w:rsid w:val="004E476B"/>
    <w:rsid w:val="004E48B8"/>
    <w:rsid w:val="004E6328"/>
    <w:rsid w:val="004E641D"/>
    <w:rsid w:val="004F0473"/>
    <w:rsid w:val="004F16FF"/>
    <w:rsid w:val="004F1B90"/>
    <w:rsid w:val="004F2DD3"/>
    <w:rsid w:val="004F3567"/>
    <w:rsid w:val="004F3CF7"/>
    <w:rsid w:val="004F4236"/>
    <w:rsid w:val="004F4331"/>
    <w:rsid w:val="004F4547"/>
    <w:rsid w:val="004F504C"/>
    <w:rsid w:val="004F5133"/>
    <w:rsid w:val="004F7099"/>
    <w:rsid w:val="0050117D"/>
    <w:rsid w:val="00501B66"/>
    <w:rsid w:val="00501CCE"/>
    <w:rsid w:val="0050301A"/>
    <w:rsid w:val="00503FBB"/>
    <w:rsid w:val="0050483B"/>
    <w:rsid w:val="00504F32"/>
    <w:rsid w:val="005063ED"/>
    <w:rsid w:val="0050689C"/>
    <w:rsid w:val="005074CA"/>
    <w:rsid w:val="00510214"/>
    <w:rsid w:val="0051041E"/>
    <w:rsid w:val="00510B10"/>
    <w:rsid w:val="00510E9E"/>
    <w:rsid w:val="00512901"/>
    <w:rsid w:val="00512BD6"/>
    <w:rsid w:val="00512E60"/>
    <w:rsid w:val="0051340F"/>
    <w:rsid w:val="00513A11"/>
    <w:rsid w:val="00513FB6"/>
    <w:rsid w:val="005143FA"/>
    <w:rsid w:val="0051612C"/>
    <w:rsid w:val="0051697E"/>
    <w:rsid w:val="00517E1C"/>
    <w:rsid w:val="005202B7"/>
    <w:rsid w:val="005247AF"/>
    <w:rsid w:val="00524C4A"/>
    <w:rsid w:val="00524F56"/>
    <w:rsid w:val="0052585E"/>
    <w:rsid w:val="00525A60"/>
    <w:rsid w:val="00525F2A"/>
    <w:rsid w:val="005270B5"/>
    <w:rsid w:val="00527835"/>
    <w:rsid w:val="005301A2"/>
    <w:rsid w:val="0053388E"/>
    <w:rsid w:val="00533F5E"/>
    <w:rsid w:val="00540F78"/>
    <w:rsid w:val="0054172E"/>
    <w:rsid w:val="005424AD"/>
    <w:rsid w:val="00542911"/>
    <w:rsid w:val="00543DA3"/>
    <w:rsid w:val="0054519F"/>
    <w:rsid w:val="00545BDB"/>
    <w:rsid w:val="00545E65"/>
    <w:rsid w:val="00546990"/>
    <w:rsid w:val="005469F1"/>
    <w:rsid w:val="00547D05"/>
    <w:rsid w:val="00547E0B"/>
    <w:rsid w:val="00547E53"/>
    <w:rsid w:val="005527B2"/>
    <w:rsid w:val="00553E9C"/>
    <w:rsid w:val="005545D0"/>
    <w:rsid w:val="005549D6"/>
    <w:rsid w:val="00555C54"/>
    <w:rsid w:val="0055619D"/>
    <w:rsid w:val="005565DB"/>
    <w:rsid w:val="00556C42"/>
    <w:rsid w:val="0055700F"/>
    <w:rsid w:val="0056167E"/>
    <w:rsid w:val="00561703"/>
    <w:rsid w:val="0056175F"/>
    <w:rsid w:val="00563542"/>
    <w:rsid w:val="00563B17"/>
    <w:rsid w:val="0056431C"/>
    <w:rsid w:val="00564997"/>
    <w:rsid w:val="00564FA0"/>
    <w:rsid w:val="0056579D"/>
    <w:rsid w:val="00565B13"/>
    <w:rsid w:val="0056604F"/>
    <w:rsid w:val="00566A82"/>
    <w:rsid w:val="00567252"/>
    <w:rsid w:val="00567D76"/>
    <w:rsid w:val="00570869"/>
    <w:rsid w:val="00570874"/>
    <w:rsid w:val="00570B63"/>
    <w:rsid w:val="00570D76"/>
    <w:rsid w:val="00570FBD"/>
    <w:rsid w:val="0057157F"/>
    <w:rsid w:val="00571CEE"/>
    <w:rsid w:val="0057208E"/>
    <w:rsid w:val="00572D3A"/>
    <w:rsid w:val="00573062"/>
    <w:rsid w:val="00573211"/>
    <w:rsid w:val="00573F09"/>
    <w:rsid w:val="005743EB"/>
    <w:rsid w:val="0057442E"/>
    <w:rsid w:val="00575332"/>
    <w:rsid w:val="00575B30"/>
    <w:rsid w:val="00575E1F"/>
    <w:rsid w:val="00575EDD"/>
    <w:rsid w:val="005810AE"/>
    <w:rsid w:val="00581BB2"/>
    <w:rsid w:val="00582024"/>
    <w:rsid w:val="0058261D"/>
    <w:rsid w:val="005834BD"/>
    <w:rsid w:val="005840F6"/>
    <w:rsid w:val="00586428"/>
    <w:rsid w:val="00586F25"/>
    <w:rsid w:val="00591370"/>
    <w:rsid w:val="0059184C"/>
    <w:rsid w:val="00592540"/>
    <w:rsid w:val="00593104"/>
    <w:rsid w:val="00593D36"/>
    <w:rsid w:val="005955C8"/>
    <w:rsid w:val="005977ED"/>
    <w:rsid w:val="005A1973"/>
    <w:rsid w:val="005A1CDB"/>
    <w:rsid w:val="005A222E"/>
    <w:rsid w:val="005A28DF"/>
    <w:rsid w:val="005A30F2"/>
    <w:rsid w:val="005A4181"/>
    <w:rsid w:val="005A534C"/>
    <w:rsid w:val="005A5366"/>
    <w:rsid w:val="005A5706"/>
    <w:rsid w:val="005A7302"/>
    <w:rsid w:val="005A794D"/>
    <w:rsid w:val="005B0A26"/>
    <w:rsid w:val="005B13A8"/>
    <w:rsid w:val="005B160B"/>
    <w:rsid w:val="005B2C72"/>
    <w:rsid w:val="005B340F"/>
    <w:rsid w:val="005B3C49"/>
    <w:rsid w:val="005B4A6E"/>
    <w:rsid w:val="005B535F"/>
    <w:rsid w:val="005B5C32"/>
    <w:rsid w:val="005B6303"/>
    <w:rsid w:val="005B7117"/>
    <w:rsid w:val="005B7C52"/>
    <w:rsid w:val="005B7F48"/>
    <w:rsid w:val="005C0D3F"/>
    <w:rsid w:val="005C1455"/>
    <w:rsid w:val="005C1C56"/>
    <w:rsid w:val="005C243D"/>
    <w:rsid w:val="005C3157"/>
    <w:rsid w:val="005C3BA8"/>
    <w:rsid w:val="005C44E3"/>
    <w:rsid w:val="005C4D29"/>
    <w:rsid w:val="005C7744"/>
    <w:rsid w:val="005C7BE4"/>
    <w:rsid w:val="005C7F02"/>
    <w:rsid w:val="005D04B6"/>
    <w:rsid w:val="005D099F"/>
    <w:rsid w:val="005D0D0F"/>
    <w:rsid w:val="005D1C7B"/>
    <w:rsid w:val="005D3EE1"/>
    <w:rsid w:val="005D40A2"/>
    <w:rsid w:val="005D6ECE"/>
    <w:rsid w:val="005D7EE8"/>
    <w:rsid w:val="005E001D"/>
    <w:rsid w:val="005E0BCC"/>
    <w:rsid w:val="005E1998"/>
    <w:rsid w:val="005E1AE1"/>
    <w:rsid w:val="005E1D72"/>
    <w:rsid w:val="005E2147"/>
    <w:rsid w:val="005E3694"/>
    <w:rsid w:val="005E5945"/>
    <w:rsid w:val="005E6EAE"/>
    <w:rsid w:val="005E71F8"/>
    <w:rsid w:val="005E73B1"/>
    <w:rsid w:val="005F0869"/>
    <w:rsid w:val="005F0E9D"/>
    <w:rsid w:val="005F1137"/>
    <w:rsid w:val="005F2B6C"/>
    <w:rsid w:val="005F2D9C"/>
    <w:rsid w:val="005F3037"/>
    <w:rsid w:val="005F313F"/>
    <w:rsid w:val="005F33E5"/>
    <w:rsid w:val="005F409D"/>
    <w:rsid w:val="005F7E82"/>
    <w:rsid w:val="006009CE"/>
    <w:rsid w:val="00601BA9"/>
    <w:rsid w:val="00601D60"/>
    <w:rsid w:val="0060260A"/>
    <w:rsid w:val="0060384C"/>
    <w:rsid w:val="006064CB"/>
    <w:rsid w:val="00610A26"/>
    <w:rsid w:val="00610E24"/>
    <w:rsid w:val="00611A01"/>
    <w:rsid w:val="00611C66"/>
    <w:rsid w:val="00612DE3"/>
    <w:rsid w:val="00613057"/>
    <w:rsid w:val="00613BBB"/>
    <w:rsid w:val="00615E7B"/>
    <w:rsid w:val="00617328"/>
    <w:rsid w:val="00620AA7"/>
    <w:rsid w:val="006213E9"/>
    <w:rsid w:val="0062158F"/>
    <w:rsid w:val="00621A1C"/>
    <w:rsid w:val="0062332A"/>
    <w:rsid w:val="0062369D"/>
    <w:rsid w:val="006250E0"/>
    <w:rsid w:val="00625596"/>
    <w:rsid w:val="00625627"/>
    <w:rsid w:val="0062599B"/>
    <w:rsid w:val="00627089"/>
    <w:rsid w:val="00631726"/>
    <w:rsid w:val="00631D78"/>
    <w:rsid w:val="00635278"/>
    <w:rsid w:val="00635BF1"/>
    <w:rsid w:val="006365F0"/>
    <w:rsid w:val="00637083"/>
    <w:rsid w:val="00637638"/>
    <w:rsid w:val="006406CC"/>
    <w:rsid w:val="006413D8"/>
    <w:rsid w:val="00641D93"/>
    <w:rsid w:val="00642FD4"/>
    <w:rsid w:val="00647425"/>
    <w:rsid w:val="00647561"/>
    <w:rsid w:val="00647AAF"/>
    <w:rsid w:val="00650B6B"/>
    <w:rsid w:val="006511E1"/>
    <w:rsid w:val="00651D03"/>
    <w:rsid w:val="0065211C"/>
    <w:rsid w:val="00652307"/>
    <w:rsid w:val="00652CA3"/>
    <w:rsid w:val="00653A0C"/>
    <w:rsid w:val="00655F4A"/>
    <w:rsid w:val="00656C62"/>
    <w:rsid w:val="00657B22"/>
    <w:rsid w:val="0066051A"/>
    <w:rsid w:val="006606B9"/>
    <w:rsid w:val="0066090E"/>
    <w:rsid w:val="00662D0B"/>
    <w:rsid w:val="00663187"/>
    <w:rsid w:val="0066480E"/>
    <w:rsid w:val="00664949"/>
    <w:rsid w:val="00665357"/>
    <w:rsid w:val="006709CE"/>
    <w:rsid w:val="00670FB4"/>
    <w:rsid w:val="00671CF9"/>
    <w:rsid w:val="0067341D"/>
    <w:rsid w:val="0067446B"/>
    <w:rsid w:val="00674D9C"/>
    <w:rsid w:val="00674DDB"/>
    <w:rsid w:val="0067566C"/>
    <w:rsid w:val="00675B3E"/>
    <w:rsid w:val="00676DDC"/>
    <w:rsid w:val="00676FE3"/>
    <w:rsid w:val="00677443"/>
    <w:rsid w:val="006811BE"/>
    <w:rsid w:val="00683875"/>
    <w:rsid w:val="00683AF2"/>
    <w:rsid w:val="0068465E"/>
    <w:rsid w:val="0068474E"/>
    <w:rsid w:val="00684989"/>
    <w:rsid w:val="00686C3C"/>
    <w:rsid w:val="00686DB2"/>
    <w:rsid w:val="0069037D"/>
    <w:rsid w:val="00690843"/>
    <w:rsid w:val="00690BB2"/>
    <w:rsid w:val="00691D06"/>
    <w:rsid w:val="006925CD"/>
    <w:rsid w:val="006928CB"/>
    <w:rsid w:val="006934ED"/>
    <w:rsid w:val="006945BE"/>
    <w:rsid w:val="006945E3"/>
    <w:rsid w:val="006952B3"/>
    <w:rsid w:val="00695533"/>
    <w:rsid w:val="00696753"/>
    <w:rsid w:val="00696E50"/>
    <w:rsid w:val="0069719E"/>
    <w:rsid w:val="00697327"/>
    <w:rsid w:val="0069763B"/>
    <w:rsid w:val="006A031E"/>
    <w:rsid w:val="006A16BC"/>
    <w:rsid w:val="006A1CCF"/>
    <w:rsid w:val="006A2740"/>
    <w:rsid w:val="006A2F36"/>
    <w:rsid w:val="006A3070"/>
    <w:rsid w:val="006A618E"/>
    <w:rsid w:val="006A79A1"/>
    <w:rsid w:val="006B141B"/>
    <w:rsid w:val="006B20AB"/>
    <w:rsid w:val="006B34C0"/>
    <w:rsid w:val="006B562F"/>
    <w:rsid w:val="006B7D1E"/>
    <w:rsid w:val="006B7E08"/>
    <w:rsid w:val="006C01DB"/>
    <w:rsid w:val="006C070E"/>
    <w:rsid w:val="006C0D6F"/>
    <w:rsid w:val="006C0E8A"/>
    <w:rsid w:val="006C1DF1"/>
    <w:rsid w:val="006C2476"/>
    <w:rsid w:val="006C4A48"/>
    <w:rsid w:val="006C57A7"/>
    <w:rsid w:val="006C58E0"/>
    <w:rsid w:val="006C59A5"/>
    <w:rsid w:val="006C6525"/>
    <w:rsid w:val="006D1283"/>
    <w:rsid w:val="006D135A"/>
    <w:rsid w:val="006D1F27"/>
    <w:rsid w:val="006D2224"/>
    <w:rsid w:val="006D47CA"/>
    <w:rsid w:val="006D685F"/>
    <w:rsid w:val="006E017F"/>
    <w:rsid w:val="006E3160"/>
    <w:rsid w:val="006E3B30"/>
    <w:rsid w:val="006E6013"/>
    <w:rsid w:val="006E6469"/>
    <w:rsid w:val="006E6D0B"/>
    <w:rsid w:val="006E78B3"/>
    <w:rsid w:val="006F14EA"/>
    <w:rsid w:val="006F2310"/>
    <w:rsid w:val="006F494F"/>
    <w:rsid w:val="006F49B4"/>
    <w:rsid w:val="006F532B"/>
    <w:rsid w:val="006F581F"/>
    <w:rsid w:val="006F5A3A"/>
    <w:rsid w:val="006F6D4F"/>
    <w:rsid w:val="006F6F17"/>
    <w:rsid w:val="006F7E6D"/>
    <w:rsid w:val="007008B7"/>
    <w:rsid w:val="00700B37"/>
    <w:rsid w:val="00701399"/>
    <w:rsid w:val="007015BD"/>
    <w:rsid w:val="00701CBE"/>
    <w:rsid w:val="00702EA9"/>
    <w:rsid w:val="007032E1"/>
    <w:rsid w:val="0070422B"/>
    <w:rsid w:val="0070448C"/>
    <w:rsid w:val="0070697F"/>
    <w:rsid w:val="0071078C"/>
    <w:rsid w:val="00710C89"/>
    <w:rsid w:val="00714682"/>
    <w:rsid w:val="00714887"/>
    <w:rsid w:val="00714D08"/>
    <w:rsid w:val="00715431"/>
    <w:rsid w:val="00716E46"/>
    <w:rsid w:val="007206D5"/>
    <w:rsid w:val="00723050"/>
    <w:rsid w:val="00723D86"/>
    <w:rsid w:val="00724101"/>
    <w:rsid w:val="0072423E"/>
    <w:rsid w:val="00724E4C"/>
    <w:rsid w:val="00725E5A"/>
    <w:rsid w:val="00726599"/>
    <w:rsid w:val="00727C03"/>
    <w:rsid w:val="00733190"/>
    <w:rsid w:val="0073467D"/>
    <w:rsid w:val="007374A0"/>
    <w:rsid w:val="007378B8"/>
    <w:rsid w:val="007412F7"/>
    <w:rsid w:val="00741B07"/>
    <w:rsid w:val="00742648"/>
    <w:rsid w:val="007434E9"/>
    <w:rsid w:val="00743A29"/>
    <w:rsid w:val="00747097"/>
    <w:rsid w:val="00747332"/>
    <w:rsid w:val="00747678"/>
    <w:rsid w:val="0074771F"/>
    <w:rsid w:val="00752242"/>
    <w:rsid w:val="00752A73"/>
    <w:rsid w:val="00754705"/>
    <w:rsid w:val="00755DCF"/>
    <w:rsid w:val="00755EBA"/>
    <w:rsid w:val="00756167"/>
    <w:rsid w:val="00756782"/>
    <w:rsid w:val="00756DDE"/>
    <w:rsid w:val="00757301"/>
    <w:rsid w:val="007631EF"/>
    <w:rsid w:val="00763D0B"/>
    <w:rsid w:val="00764B3E"/>
    <w:rsid w:val="00764D5C"/>
    <w:rsid w:val="007671C9"/>
    <w:rsid w:val="00770071"/>
    <w:rsid w:val="0077010A"/>
    <w:rsid w:val="00770150"/>
    <w:rsid w:val="00770E1C"/>
    <w:rsid w:val="007711F8"/>
    <w:rsid w:val="007719DC"/>
    <w:rsid w:val="007738CD"/>
    <w:rsid w:val="00773D13"/>
    <w:rsid w:val="00774E38"/>
    <w:rsid w:val="00776F59"/>
    <w:rsid w:val="007802A1"/>
    <w:rsid w:val="007815FC"/>
    <w:rsid w:val="00781856"/>
    <w:rsid w:val="00781FB4"/>
    <w:rsid w:val="007824E6"/>
    <w:rsid w:val="00782CFF"/>
    <w:rsid w:val="007838FF"/>
    <w:rsid w:val="00783A68"/>
    <w:rsid w:val="00783EBF"/>
    <w:rsid w:val="00784BC5"/>
    <w:rsid w:val="007852E7"/>
    <w:rsid w:val="00785369"/>
    <w:rsid w:val="007853AE"/>
    <w:rsid w:val="00785BE6"/>
    <w:rsid w:val="00786FBB"/>
    <w:rsid w:val="00787F35"/>
    <w:rsid w:val="007904DB"/>
    <w:rsid w:val="00790586"/>
    <w:rsid w:val="00792232"/>
    <w:rsid w:val="00792DEE"/>
    <w:rsid w:val="00793060"/>
    <w:rsid w:val="007937DE"/>
    <w:rsid w:val="00793E59"/>
    <w:rsid w:val="007940A2"/>
    <w:rsid w:val="007941D0"/>
    <w:rsid w:val="00794398"/>
    <w:rsid w:val="007944D5"/>
    <w:rsid w:val="00794F9F"/>
    <w:rsid w:val="00795B9D"/>
    <w:rsid w:val="007A0144"/>
    <w:rsid w:val="007A0BF9"/>
    <w:rsid w:val="007A34CC"/>
    <w:rsid w:val="007A3A5E"/>
    <w:rsid w:val="007A3E63"/>
    <w:rsid w:val="007A3EC7"/>
    <w:rsid w:val="007A53CB"/>
    <w:rsid w:val="007A5992"/>
    <w:rsid w:val="007A6F45"/>
    <w:rsid w:val="007A7B29"/>
    <w:rsid w:val="007A7E36"/>
    <w:rsid w:val="007B03D3"/>
    <w:rsid w:val="007B08D2"/>
    <w:rsid w:val="007B1321"/>
    <w:rsid w:val="007B1445"/>
    <w:rsid w:val="007B2079"/>
    <w:rsid w:val="007B45F9"/>
    <w:rsid w:val="007B5908"/>
    <w:rsid w:val="007B6097"/>
    <w:rsid w:val="007B6B55"/>
    <w:rsid w:val="007B6FF3"/>
    <w:rsid w:val="007B7484"/>
    <w:rsid w:val="007C1253"/>
    <w:rsid w:val="007C1830"/>
    <w:rsid w:val="007C2C30"/>
    <w:rsid w:val="007C3308"/>
    <w:rsid w:val="007C354F"/>
    <w:rsid w:val="007C37A9"/>
    <w:rsid w:val="007C3DD4"/>
    <w:rsid w:val="007C3EA7"/>
    <w:rsid w:val="007C3F49"/>
    <w:rsid w:val="007C4A5D"/>
    <w:rsid w:val="007C545F"/>
    <w:rsid w:val="007C6203"/>
    <w:rsid w:val="007D0789"/>
    <w:rsid w:val="007D08A1"/>
    <w:rsid w:val="007D14C3"/>
    <w:rsid w:val="007D241F"/>
    <w:rsid w:val="007D4C33"/>
    <w:rsid w:val="007D51F1"/>
    <w:rsid w:val="007D72E2"/>
    <w:rsid w:val="007D7A0B"/>
    <w:rsid w:val="007E11F4"/>
    <w:rsid w:val="007E2BEC"/>
    <w:rsid w:val="007E618A"/>
    <w:rsid w:val="007F0307"/>
    <w:rsid w:val="007F1D5D"/>
    <w:rsid w:val="007F2163"/>
    <w:rsid w:val="007F3961"/>
    <w:rsid w:val="007F4D39"/>
    <w:rsid w:val="007F50AF"/>
    <w:rsid w:val="007F5845"/>
    <w:rsid w:val="007F5B38"/>
    <w:rsid w:val="007F7282"/>
    <w:rsid w:val="00800A57"/>
    <w:rsid w:val="00803BEB"/>
    <w:rsid w:val="00804064"/>
    <w:rsid w:val="00804236"/>
    <w:rsid w:val="008051D5"/>
    <w:rsid w:val="00805C59"/>
    <w:rsid w:val="008100B6"/>
    <w:rsid w:val="00810236"/>
    <w:rsid w:val="00810A0E"/>
    <w:rsid w:val="00810C29"/>
    <w:rsid w:val="008112A3"/>
    <w:rsid w:val="00811C09"/>
    <w:rsid w:val="00811CC6"/>
    <w:rsid w:val="00811CD4"/>
    <w:rsid w:val="00812863"/>
    <w:rsid w:val="008141BD"/>
    <w:rsid w:val="00814D4A"/>
    <w:rsid w:val="0081682E"/>
    <w:rsid w:val="008208A1"/>
    <w:rsid w:val="00820AE0"/>
    <w:rsid w:val="00821E54"/>
    <w:rsid w:val="008223C6"/>
    <w:rsid w:val="0082278A"/>
    <w:rsid w:val="00823674"/>
    <w:rsid w:val="008248D8"/>
    <w:rsid w:val="00827629"/>
    <w:rsid w:val="00831006"/>
    <w:rsid w:val="00831B6F"/>
    <w:rsid w:val="00835612"/>
    <w:rsid w:val="00836461"/>
    <w:rsid w:val="00840A29"/>
    <w:rsid w:val="00842164"/>
    <w:rsid w:val="00842997"/>
    <w:rsid w:val="008433E6"/>
    <w:rsid w:val="00850CBA"/>
    <w:rsid w:val="00851395"/>
    <w:rsid w:val="008520E3"/>
    <w:rsid w:val="008520FD"/>
    <w:rsid w:val="00852E6F"/>
    <w:rsid w:val="0085396F"/>
    <w:rsid w:val="008549CB"/>
    <w:rsid w:val="00855A0B"/>
    <w:rsid w:val="0085600E"/>
    <w:rsid w:val="008564F6"/>
    <w:rsid w:val="0085728E"/>
    <w:rsid w:val="00862C21"/>
    <w:rsid w:val="00863A69"/>
    <w:rsid w:val="00863FB6"/>
    <w:rsid w:val="008653AC"/>
    <w:rsid w:val="0086570B"/>
    <w:rsid w:val="008659E2"/>
    <w:rsid w:val="008659EF"/>
    <w:rsid w:val="00865D08"/>
    <w:rsid w:val="0086693F"/>
    <w:rsid w:val="00866DA9"/>
    <w:rsid w:val="008673E2"/>
    <w:rsid w:val="00867A75"/>
    <w:rsid w:val="00870FEA"/>
    <w:rsid w:val="00871223"/>
    <w:rsid w:val="00872287"/>
    <w:rsid w:val="00872362"/>
    <w:rsid w:val="0087408D"/>
    <w:rsid w:val="00874460"/>
    <w:rsid w:val="008746F9"/>
    <w:rsid w:val="008750A8"/>
    <w:rsid w:val="00875186"/>
    <w:rsid w:val="00875430"/>
    <w:rsid w:val="008759FE"/>
    <w:rsid w:val="00875A0D"/>
    <w:rsid w:val="00880695"/>
    <w:rsid w:val="008831F5"/>
    <w:rsid w:val="0088387E"/>
    <w:rsid w:val="00884981"/>
    <w:rsid w:val="00884DC2"/>
    <w:rsid w:val="008850C4"/>
    <w:rsid w:val="008857E4"/>
    <w:rsid w:val="00885BF7"/>
    <w:rsid w:val="008860CA"/>
    <w:rsid w:val="0088740B"/>
    <w:rsid w:val="00887ADD"/>
    <w:rsid w:val="00890229"/>
    <w:rsid w:val="008903C2"/>
    <w:rsid w:val="0089272C"/>
    <w:rsid w:val="00892A96"/>
    <w:rsid w:val="00892AFC"/>
    <w:rsid w:val="00893B0A"/>
    <w:rsid w:val="00895995"/>
    <w:rsid w:val="008A1A75"/>
    <w:rsid w:val="008A23D4"/>
    <w:rsid w:val="008A25D6"/>
    <w:rsid w:val="008A2C5A"/>
    <w:rsid w:val="008A4AB2"/>
    <w:rsid w:val="008B05F9"/>
    <w:rsid w:val="008B1226"/>
    <w:rsid w:val="008B27E3"/>
    <w:rsid w:val="008B2DE8"/>
    <w:rsid w:val="008B32B3"/>
    <w:rsid w:val="008B3DAA"/>
    <w:rsid w:val="008B47F0"/>
    <w:rsid w:val="008B6245"/>
    <w:rsid w:val="008B6FEB"/>
    <w:rsid w:val="008B7176"/>
    <w:rsid w:val="008B7199"/>
    <w:rsid w:val="008C06F0"/>
    <w:rsid w:val="008C082D"/>
    <w:rsid w:val="008C19F9"/>
    <w:rsid w:val="008C1B17"/>
    <w:rsid w:val="008C2159"/>
    <w:rsid w:val="008C2B11"/>
    <w:rsid w:val="008C312C"/>
    <w:rsid w:val="008C4CFB"/>
    <w:rsid w:val="008C6E49"/>
    <w:rsid w:val="008D2596"/>
    <w:rsid w:val="008D4198"/>
    <w:rsid w:val="008D4891"/>
    <w:rsid w:val="008D4BB9"/>
    <w:rsid w:val="008E1AAC"/>
    <w:rsid w:val="008F2FB6"/>
    <w:rsid w:val="008F6074"/>
    <w:rsid w:val="008F6867"/>
    <w:rsid w:val="009001F5"/>
    <w:rsid w:val="009022D8"/>
    <w:rsid w:val="00903683"/>
    <w:rsid w:val="00904256"/>
    <w:rsid w:val="00904AC4"/>
    <w:rsid w:val="00904CAB"/>
    <w:rsid w:val="009052A4"/>
    <w:rsid w:val="0090630C"/>
    <w:rsid w:val="00907314"/>
    <w:rsid w:val="00907E9B"/>
    <w:rsid w:val="00911143"/>
    <w:rsid w:val="009111FC"/>
    <w:rsid w:val="0091175F"/>
    <w:rsid w:val="00911905"/>
    <w:rsid w:val="009122F6"/>
    <w:rsid w:val="009168B4"/>
    <w:rsid w:val="00917C4F"/>
    <w:rsid w:val="009226A4"/>
    <w:rsid w:val="00923E3D"/>
    <w:rsid w:val="00924093"/>
    <w:rsid w:val="0092483B"/>
    <w:rsid w:val="00924D50"/>
    <w:rsid w:val="00925AE7"/>
    <w:rsid w:val="00925D3B"/>
    <w:rsid w:val="0092659A"/>
    <w:rsid w:val="00926B12"/>
    <w:rsid w:val="00927FA6"/>
    <w:rsid w:val="00932191"/>
    <w:rsid w:val="0093243F"/>
    <w:rsid w:val="009325AA"/>
    <w:rsid w:val="00932D27"/>
    <w:rsid w:val="00933E31"/>
    <w:rsid w:val="00934796"/>
    <w:rsid w:val="0093632C"/>
    <w:rsid w:val="00936ED7"/>
    <w:rsid w:val="00941FF4"/>
    <w:rsid w:val="0094247C"/>
    <w:rsid w:val="0094296B"/>
    <w:rsid w:val="00943A63"/>
    <w:rsid w:val="009440D6"/>
    <w:rsid w:val="009441BA"/>
    <w:rsid w:val="00946D39"/>
    <w:rsid w:val="0094718D"/>
    <w:rsid w:val="00950176"/>
    <w:rsid w:val="0095147A"/>
    <w:rsid w:val="00951C7E"/>
    <w:rsid w:val="0095248A"/>
    <w:rsid w:val="009526E3"/>
    <w:rsid w:val="00954019"/>
    <w:rsid w:val="00954B8C"/>
    <w:rsid w:val="00954EAD"/>
    <w:rsid w:val="00956FBE"/>
    <w:rsid w:val="00957A84"/>
    <w:rsid w:val="00961DB5"/>
    <w:rsid w:val="009622D1"/>
    <w:rsid w:val="00962B86"/>
    <w:rsid w:val="00963951"/>
    <w:rsid w:val="00963D98"/>
    <w:rsid w:val="00964012"/>
    <w:rsid w:val="0096419B"/>
    <w:rsid w:val="009671F7"/>
    <w:rsid w:val="00967E93"/>
    <w:rsid w:val="00971477"/>
    <w:rsid w:val="00973196"/>
    <w:rsid w:val="009776E7"/>
    <w:rsid w:val="00977A0B"/>
    <w:rsid w:val="00977B40"/>
    <w:rsid w:val="009807A5"/>
    <w:rsid w:val="009807CD"/>
    <w:rsid w:val="00980B46"/>
    <w:rsid w:val="009821D8"/>
    <w:rsid w:val="00982BCF"/>
    <w:rsid w:val="009841A5"/>
    <w:rsid w:val="00984673"/>
    <w:rsid w:val="00984837"/>
    <w:rsid w:val="00985053"/>
    <w:rsid w:val="00985789"/>
    <w:rsid w:val="009903BB"/>
    <w:rsid w:val="00990789"/>
    <w:rsid w:val="00991DC6"/>
    <w:rsid w:val="0099396C"/>
    <w:rsid w:val="00996EA6"/>
    <w:rsid w:val="009A2B4E"/>
    <w:rsid w:val="009A44F0"/>
    <w:rsid w:val="009A46EC"/>
    <w:rsid w:val="009A4E88"/>
    <w:rsid w:val="009A516E"/>
    <w:rsid w:val="009A5A76"/>
    <w:rsid w:val="009A66C7"/>
    <w:rsid w:val="009A6D4A"/>
    <w:rsid w:val="009B0048"/>
    <w:rsid w:val="009B0A32"/>
    <w:rsid w:val="009B0D5C"/>
    <w:rsid w:val="009B1BFB"/>
    <w:rsid w:val="009B293B"/>
    <w:rsid w:val="009B392B"/>
    <w:rsid w:val="009B40B6"/>
    <w:rsid w:val="009B4650"/>
    <w:rsid w:val="009B4E17"/>
    <w:rsid w:val="009B7061"/>
    <w:rsid w:val="009B7574"/>
    <w:rsid w:val="009C001C"/>
    <w:rsid w:val="009C12C9"/>
    <w:rsid w:val="009C22F7"/>
    <w:rsid w:val="009C274A"/>
    <w:rsid w:val="009C2F36"/>
    <w:rsid w:val="009C3111"/>
    <w:rsid w:val="009C4B82"/>
    <w:rsid w:val="009C4E13"/>
    <w:rsid w:val="009C5545"/>
    <w:rsid w:val="009C5AE3"/>
    <w:rsid w:val="009C5D23"/>
    <w:rsid w:val="009C5D55"/>
    <w:rsid w:val="009C6B57"/>
    <w:rsid w:val="009D00C0"/>
    <w:rsid w:val="009D10FA"/>
    <w:rsid w:val="009D293B"/>
    <w:rsid w:val="009D373C"/>
    <w:rsid w:val="009D3B6C"/>
    <w:rsid w:val="009D3FB0"/>
    <w:rsid w:val="009D45FE"/>
    <w:rsid w:val="009D4705"/>
    <w:rsid w:val="009D4B3F"/>
    <w:rsid w:val="009D4CCE"/>
    <w:rsid w:val="009D67FE"/>
    <w:rsid w:val="009D6812"/>
    <w:rsid w:val="009D6BEB"/>
    <w:rsid w:val="009D6D95"/>
    <w:rsid w:val="009E05C2"/>
    <w:rsid w:val="009E0ADF"/>
    <w:rsid w:val="009E1DED"/>
    <w:rsid w:val="009E2800"/>
    <w:rsid w:val="009E3FE5"/>
    <w:rsid w:val="009E5008"/>
    <w:rsid w:val="009E77DD"/>
    <w:rsid w:val="009E7A74"/>
    <w:rsid w:val="009E7DB2"/>
    <w:rsid w:val="009F05FD"/>
    <w:rsid w:val="009F07C2"/>
    <w:rsid w:val="009F0EC0"/>
    <w:rsid w:val="009F1182"/>
    <w:rsid w:val="009F15F5"/>
    <w:rsid w:val="009F227C"/>
    <w:rsid w:val="009F2944"/>
    <w:rsid w:val="009F39A2"/>
    <w:rsid w:val="009F3BD0"/>
    <w:rsid w:val="009F4B93"/>
    <w:rsid w:val="009F5BCC"/>
    <w:rsid w:val="009F7408"/>
    <w:rsid w:val="009F79E2"/>
    <w:rsid w:val="009F7C72"/>
    <w:rsid w:val="00A00C3F"/>
    <w:rsid w:val="00A00E11"/>
    <w:rsid w:val="00A027BB"/>
    <w:rsid w:val="00A0312C"/>
    <w:rsid w:val="00A0337E"/>
    <w:rsid w:val="00A034A8"/>
    <w:rsid w:val="00A03D5E"/>
    <w:rsid w:val="00A04CBE"/>
    <w:rsid w:val="00A05D4F"/>
    <w:rsid w:val="00A05FB6"/>
    <w:rsid w:val="00A0647F"/>
    <w:rsid w:val="00A066C8"/>
    <w:rsid w:val="00A10BDD"/>
    <w:rsid w:val="00A11EDA"/>
    <w:rsid w:val="00A1226D"/>
    <w:rsid w:val="00A12F74"/>
    <w:rsid w:val="00A13537"/>
    <w:rsid w:val="00A137EB"/>
    <w:rsid w:val="00A149C2"/>
    <w:rsid w:val="00A14ACB"/>
    <w:rsid w:val="00A14BD1"/>
    <w:rsid w:val="00A15729"/>
    <w:rsid w:val="00A21F25"/>
    <w:rsid w:val="00A21FD3"/>
    <w:rsid w:val="00A235D0"/>
    <w:rsid w:val="00A236E3"/>
    <w:rsid w:val="00A236F8"/>
    <w:rsid w:val="00A243E7"/>
    <w:rsid w:val="00A243F6"/>
    <w:rsid w:val="00A2562A"/>
    <w:rsid w:val="00A2579C"/>
    <w:rsid w:val="00A2591A"/>
    <w:rsid w:val="00A26107"/>
    <w:rsid w:val="00A27AB1"/>
    <w:rsid w:val="00A3160B"/>
    <w:rsid w:val="00A3164E"/>
    <w:rsid w:val="00A31EF4"/>
    <w:rsid w:val="00A32AE9"/>
    <w:rsid w:val="00A33FAA"/>
    <w:rsid w:val="00A35362"/>
    <w:rsid w:val="00A361BB"/>
    <w:rsid w:val="00A36234"/>
    <w:rsid w:val="00A36CD2"/>
    <w:rsid w:val="00A37D25"/>
    <w:rsid w:val="00A37E9D"/>
    <w:rsid w:val="00A37F15"/>
    <w:rsid w:val="00A42376"/>
    <w:rsid w:val="00A4451E"/>
    <w:rsid w:val="00A45920"/>
    <w:rsid w:val="00A47504"/>
    <w:rsid w:val="00A47969"/>
    <w:rsid w:val="00A47DFE"/>
    <w:rsid w:val="00A50EDB"/>
    <w:rsid w:val="00A52B6B"/>
    <w:rsid w:val="00A52F0E"/>
    <w:rsid w:val="00A53100"/>
    <w:rsid w:val="00A531F6"/>
    <w:rsid w:val="00A54000"/>
    <w:rsid w:val="00A554A8"/>
    <w:rsid w:val="00A576DD"/>
    <w:rsid w:val="00A614E2"/>
    <w:rsid w:val="00A61A02"/>
    <w:rsid w:val="00A6261F"/>
    <w:rsid w:val="00A63344"/>
    <w:rsid w:val="00A653D2"/>
    <w:rsid w:val="00A6592D"/>
    <w:rsid w:val="00A66B3C"/>
    <w:rsid w:val="00A713AF"/>
    <w:rsid w:val="00A7245C"/>
    <w:rsid w:val="00A73156"/>
    <w:rsid w:val="00A73328"/>
    <w:rsid w:val="00A752D4"/>
    <w:rsid w:val="00A75E4C"/>
    <w:rsid w:val="00A7721D"/>
    <w:rsid w:val="00A7769C"/>
    <w:rsid w:val="00A776FF"/>
    <w:rsid w:val="00A77DAA"/>
    <w:rsid w:val="00A77DBC"/>
    <w:rsid w:val="00A807CC"/>
    <w:rsid w:val="00A827D4"/>
    <w:rsid w:val="00A84AF4"/>
    <w:rsid w:val="00A84B72"/>
    <w:rsid w:val="00A850AF"/>
    <w:rsid w:val="00A8687E"/>
    <w:rsid w:val="00A87624"/>
    <w:rsid w:val="00A876CD"/>
    <w:rsid w:val="00A908FF"/>
    <w:rsid w:val="00A90E01"/>
    <w:rsid w:val="00A92684"/>
    <w:rsid w:val="00A927E5"/>
    <w:rsid w:val="00A92D45"/>
    <w:rsid w:val="00A937D0"/>
    <w:rsid w:val="00A94E51"/>
    <w:rsid w:val="00A956C7"/>
    <w:rsid w:val="00A958C5"/>
    <w:rsid w:val="00A958E9"/>
    <w:rsid w:val="00A96188"/>
    <w:rsid w:val="00A96D92"/>
    <w:rsid w:val="00A97335"/>
    <w:rsid w:val="00AA1377"/>
    <w:rsid w:val="00AA1BB0"/>
    <w:rsid w:val="00AA22EB"/>
    <w:rsid w:val="00AA3325"/>
    <w:rsid w:val="00AA3BA8"/>
    <w:rsid w:val="00AA471B"/>
    <w:rsid w:val="00AA532D"/>
    <w:rsid w:val="00AA5938"/>
    <w:rsid w:val="00AA6519"/>
    <w:rsid w:val="00AA6797"/>
    <w:rsid w:val="00AB0C54"/>
    <w:rsid w:val="00AB0F75"/>
    <w:rsid w:val="00AB1297"/>
    <w:rsid w:val="00AB22F7"/>
    <w:rsid w:val="00AB3CEC"/>
    <w:rsid w:val="00AB4637"/>
    <w:rsid w:val="00AB72CE"/>
    <w:rsid w:val="00AB77C8"/>
    <w:rsid w:val="00AB77EA"/>
    <w:rsid w:val="00AB7C18"/>
    <w:rsid w:val="00AC0AF5"/>
    <w:rsid w:val="00AC1267"/>
    <w:rsid w:val="00AC161C"/>
    <w:rsid w:val="00AC2ABC"/>
    <w:rsid w:val="00AC2CC6"/>
    <w:rsid w:val="00AC301A"/>
    <w:rsid w:val="00AC3DBD"/>
    <w:rsid w:val="00AC5D68"/>
    <w:rsid w:val="00AC62E0"/>
    <w:rsid w:val="00AD22C2"/>
    <w:rsid w:val="00AE02D3"/>
    <w:rsid w:val="00AE0E24"/>
    <w:rsid w:val="00AE42BE"/>
    <w:rsid w:val="00AE4D6F"/>
    <w:rsid w:val="00AE527B"/>
    <w:rsid w:val="00AE7870"/>
    <w:rsid w:val="00AF0939"/>
    <w:rsid w:val="00AF2F3B"/>
    <w:rsid w:val="00AF39DF"/>
    <w:rsid w:val="00AF3EC0"/>
    <w:rsid w:val="00AF41F5"/>
    <w:rsid w:val="00AF4758"/>
    <w:rsid w:val="00AF4CA7"/>
    <w:rsid w:val="00AF5974"/>
    <w:rsid w:val="00AF691B"/>
    <w:rsid w:val="00AF72C4"/>
    <w:rsid w:val="00AF7D33"/>
    <w:rsid w:val="00B00216"/>
    <w:rsid w:val="00B01E40"/>
    <w:rsid w:val="00B022A2"/>
    <w:rsid w:val="00B02883"/>
    <w:rsid w:val="00B02C61"/>
    <w:rsid w:val="00B0419B"/>
    <w:rsid w:val="00B068AD"/>
    <w:rsid w:val="00B06F42"/>
    <w:rsid w:val="00B100C1"/>
    <w:rsid w:val="00B104B0"/>
    <w:rsid w:val="00B10834"/>
    <w:rsid w:val="00B10A5C"/>
    <w:rsid w:val="00B10BC1"/>
    <w:rsid w:val="00B116F4"/>
    <w:rsid w:val="00B124E2"/>
    <w:rsid w:val="00B142D0"/>
    <w:rsid w:val="00B15C9F"/>
    <w:rsid w:val="00B16162"/>
    <w:rsid w:val="00B2211B"/>
    <w:rsid w:val="00B22B90"/>
    <w:rsid w:val="00B22FF5"/>
    <w:rsid w:val="00B23769"/>
    <w:rsid w:val="00B241EF"/>
    <w:rsid w:val="00B264EF"/>
    <w:rsid w:val="00B2702A"/>
    <w:rsid w:val="00B2762F"/>
    <w:rsid w:val="00B3004C"/>
    <w:rsid w:val="00B306C9"/>
    <w:rsid w:val="00B312DB"/>
    <w:rsid w:val="00B313EB"/>
    <w:rsid w:val="00B3321D"/>
    <w:rsid w:val="00B33BF7"/>
    <w:rsid w:val="00B33D46"/>
    <w:rsid w:val="00B34104"/>
    <w:rsid w:val="00B34FFA"/>
    <w:rsid w:val="00B35330"/>
    <w:rsid w:val="00B36F00"/>
    <w:rsid w:val="00B375FE"/>
    <w:rsid w:val="00B3785F"/>
    <w:rsid w:val="00B40110"/>
    <w:rsid w:val="00B40B53"/>
    <w:rsid w:val="00B421CD"/>
    <w:rsid w:val="00B42C08"/>
    <w:rsid w:val="00B45320"/>
    <w:rsid w:val="00B45564"/>
    <w:rsid w:val="00B465C9"/>
    <w:rsid w:val="00B47783"/>
    <w:rsid w:val="00B4782F"/>
    <w:rsid w:val="00B514A2"/>
    <w:rsid w:val="00B5259C"/>
    <w:rsid w:val="00B538BE"/>
    <w:rsid w:val="00B53A12"/>
    <w:rsid w:val="00B543BD"/>
    <w:rsid w:val="00B54AB2"/>
    <w:rsid w:val="00B5537E"/>
    <w:rsid w:val="00B55CF2"/>
    <w:rsid w:val="00B57709"/>
    <w:rsid w:val="00B57ED1"/>
    <w:rsid w:val="00B6145B"/>
    <w:rsid w:val="00B61726"/>
    <w:rsid w:val="00B6253B"/>
    <w:rsid w:val="00B625AD"/>
    <w:rsid w:val="00B630AF"/>
    <w:rsid w:val="00B63A21"/>
    <w:rsid w:val="00B6581E"/>
    <w:rsid w:val="00B65B21"/>
    <w:rsid w:val="00B66994"/>
    <w:rsid w:val="00B6793F"/>
    <w:rsid w:val="00B7084D"/>
    <w:rsid w:val="00B70E82"/>
    <w:rsid w:val="00B7438B"/>
    <w:rsid w:val="00B75CDC"/>
    <w:rsid w:val="00B761E3"/>
    <w:rsid w:val="00B7641E"/>
    <w:rsid w:val="00B76697"/>
    <w:rsid w:val="00B767F4"/>
    <w:rsid w:val="00B773F8"/>
    <w:rsid w:val="00B774F4"/>
    <w:rsid w:val="00B80532"/>
    <w:rsid w:val="00B80E52"/>
    <w:rsid w:val="00B80E5E"/>
    <w:rsid w:val="00B80EF6"/>
    <w:rsid w:val="00B813E2"/>
    <w:rsid w:val="00B83024"/>
    <w:rsid w:val="00B85766"/>
    <w:rsid w:val="00B91732"/>
    <w:rsid w:val="00B91962"/>
    <w:rsid w:val="00B91999"/>
    <w:rsid w:val="00B91C0D"/>
    <w:rsid w:val="00B9255E"/>
    <w:rsid w:val="00B92E58"/>
    <w:rsid w:val="00B93D35"/>
    <w:rsid w:val="00B94B5E"/>
    <w:rsid w:val="00B950D2"/>
    <w:rsid w:val="00B95FA9"/>
    <w:rsid w:val="00B9671A"/>
    <w:rsid w:val="00BA0041"/>
    <w:rsid w:val="00BA043B"/>
    <w:rsid w:val="00BA23ED"/>
    <w:rsid w:val="00BA2836"/>
    <w:rsid w:val="00BA3AF4"/>
    <w:rsid w:val="00BA3D61"/>
    <w:rsid w:val="00BA4486"/>
    <w:rsid w:val="00BA60D3"/>
    <w:rsid w:val="00BA66AF"/>
    <w:rsid w:val="00BA754E"/>
    <w:rsid w:val="00BA7DA0"/>
    <w:rsid w:val="00BB1507"/>
    <w:rsid w:val="00BB1936"/>
    <w:rsid w:val="00BB1D4B"/>
    <w:rsid w:val="00BB23C0"/>
    <w:rsid w:val="00BB2A4C"/>
    <w:rsid w:val="00BB41A9"/>
    <w:rsid w:val="00BB47C3"/>
    <w:rsid w:val="00BB764A"/>
    <w:rsid w:val="00BB7D5A"/>
    <w:rsid w:val="00BC06E5"/>
    <w:rsid w:val="00BC1471"/>
    <w:rsid w:val="00BC1A1F"/>
    <w:rsid w:val="00BC1F63"/>
    <w:rsid w:val="00BC2084"/>
    <w:rsid w:val="00BC3B89"/>
    <w:rsid w:val="00BC482B"/>
    <w:rsid w:val="00BC48B1"/>
    <w:rsid w:val="00BC58FD"/>
    <w:rsid w:val="00BC62B9"/>
    <w:rsid w:val="00BD0B11"/>
    <w:rsid w:val="00BD0CCB"/>
    <w:rsid w:val="00BD1356"/>
    <w:rsid w:val="00BD2655"/>
    <w:rsid w:val="00BD3390"/>
    <w:rsid w:val="00BD4C72"/>
    <w:rsid w:val="00BD5933"/>
    <w:rsid w:val="00BD6122"/>
    <w:rsid w:val="00BD6687"/>
    <w:rsid w:val="00BD6FB5"/>
    <w:rsid w:val="00BD7BB4"/>
    <w:rsid w:val="00BE06DA"/>
    <w:rsid w:val="00BE0933"/>
    <w:rsid w:val="00BE23F2"/>
    <w:rsid w:val="00BE241B"/>
    <w:rsid w:val="00BE3AB0"/>
    <w:rsid w:val="00BE40C0"/>
    <w:rsid w:val="00BE47B1"/>
    <w:rsid w:val="00BE57CB"/>
    <w:rsid w:val="00BE5B9E"/>
    <w:rsid w:val="00BE6276"/>
    <w:rsid w:val="00BE644C"/>
    <w:rsid w:val="00BF10FE"/>
    <w:rsid w:val="00BF1492"/>
    <w:rsid w:val="00BF2099"/>
    <w:rsid w:val="00BF244E"/>
    <w:rsid w:val="00BF452B"/>
    <w:rsid w:val="00BF50F1"/>
    <w:rsid w:val="00BF659A"/>
    <w:rsid w:val="00BF6BDD"/>
    <w:rsid w:val="00BF7A96"/>
    <w:rsid w:val="00BF7CA7"/>
    <w:rsid w:val="00C0069D"/>
    <w:rsid w:val="00C03D00"/>
    <w:rsid w:val="00C04229"/>
    <w:rsid w:val="00C07590"/>
    <w:rsid w:val="00C11CD6"/>
    <w:rsid w:val="00C12600"/>
    <w:rsid w:val="00C12C7A"/>
    <w:rsid w:val="00C14A14"/>
    <w:rsid w:val="00C14B7E"/>
    <w:rsid w:val="00C153F9"/>
    <w:rsid w:val="00C1629A"/>
    <w:rsid w:val="00C1629E"/>
    <w:rsid w:val="00C16394"/>
    <w:rsid w:val="00C1682B"/>
    <w:rsid w:val="00C17385"/>
    <w:rsid w:val="00C2049E"/>
    <w:rsid w:val="00C2396A"/>
    <w:rsid w:val="00C270AC"/>
    <w:rsid w:val="00C30719"/>
    <w:rsid w:val="00C30782"/>
    <w:rsid w:val="00C310AB"/>
    <w:rsid w:val="00C319BA"/>
    <w:rsid w:val="00C325BC"/>
    <w:rsid w:val="00C33201"/>
    <w:rsid w:val="00C3368D"/>
    <w:rsid w:val="00C33808"/>
    <w:rsid w:val="00C34154"/>
    <w:rsid w:val="00C343C2"/>
    <w:rsid w:val="00C3774D"/>
    <w:rsid w:val="00C4038D"/>
    <w:rsid w:val="00C40BF5"/>
    <w:rsid w:val="00C41623"/>
    <w:rsid w:val="00C42912"/>
    <w:rsid w:val="00C42DBB"/>
    <w:rsid w:val="00C439E0"/>
    <w:rsid w:val="00C445A7"/>
    <w:rsid w:val="00C45E80"/>
    <w:rsid w:val="00C46070"/>
    <w:rsid w:val="00C46CCE"/>
    <w:rsid w:val="00C470FC"/>
    <w:rsid w:val="00C50AE6"/>
    <w:rsid w:val="00C51632"/>
    <w:rsid w:val="00C518EC"/>
    <w:rsid w:val="00C51D19"/>
    <w:rsid w:val="00C54ABD"/>
    <w:rsid w:val="00C54C1D"/>
    <w:rsid w:val="00C561BE"/>
    <w:rsid w:val="00C56EB5"/>
    <w:rsid w:val="00C60C63"/>
    <w:rsid w:val="00C60F1C"/>
    <w:rsid w:val="00C63147"/>
    <w:rsid w:val="00C6412A"/>
    <w:rsid w:val="00C64EC0"/>
    <w:rsid w:val="00C658CD"/>
    <w:rsid w:val="00C65906"/>
    <w:rsid w:val="00C65E17"/>
    <w:rsid w:val="00C66BA0"/>
    <w:rsid w:val="00C7039C"/>
    <w:rsid w:val="00C71D61"/>
    <w:rsid w:val="00C72805"/>
    <w:rsid w:val="00C73110"/>
    <w:rsid w:val="00C73694"/>
    <w:rsid w:val="00C739A0"/>
    <w:rsid w:val="00C74684"/>
    <w:rsid w:val="00C74F13"/>
    <w:rsid w:val="00C753B2"/>
    <w:rsid w:val="00C7640B"/>
    <w:rsid w:val="00C77226"/>
    <w:rsid w:val="00C776D8"/>
    <w:rsid w:val="00C802C1"/>
    <w:rsid w:val="00C808C7"/>
    <w:rsid w:val="00C819FB"/>
    <w:rsid w:val="00C81BEA"/>
    <w:rsid w:val="00C82AE4"/>
    <w:rsid w:val="00C82EDA"/>
    <w:rsid w:val="00C8303B"/>
    <w:rsid w:val="00C834E4"/>
    <w:rsid w:val="00C835C8"/>
    <w:rsid w:val="00C83651"/>
    <w:rsid w:val="00C83786"/>
    <w:rsid w:val="00C84C2F"/>
    <w:rsid w:val="00C865F3"/>
    <w:rsid w:val="00C87069"/>
    <w:rsid w:val="00C8713B"/>
    <w:rsid w:val="00C8741C"/>
    <w:rsid w:val="00C9005B"/>
    <w:rsid w:val="00C90AA3"/>
    <w:rsid w:val="00C9118E"/>
    <w:rsid w:val="00C91A62"/>
    <w:rsid w:val="00C9217E"/>
    <w:rsid w:val="00C92182"/>
    <w:rsid w:val="00C9264D"/>
    <w:rsid w:val="00C92EC1"/>
    <w:rsid w:val="00C94869"/>
    <w:rsid w:val="00C95811"/>
    <w:rsid w:val="00C96B9D"/>
    <w:rsid w:val="00CA0F2B"/>
    <w:rsid w:val="00CA13BC"/>
    <w:rsid w:val="00CA1EBE"/>
    <w:rsid w:val="00CA2F24"/>
    <w:rsid w:val="00CA641E"/>
    <w:rsid w:val="00CA7542"/>
    <w:rsid w:val="00CB19A2"/>
    <w:rsid w:val="00CB1C51"/>
    <w:rsid w:val="00CB232E"/>
    <w:rsid w:val="00CB40B4"/>
    <w:rsid w:val="00CB56ED"/>
    <w:rsid w:val="00CB5C62"/>
    <w:rsid w:val="00CB64AE"/>
    <w:rsid w:val="00CB7F58"/>
    <w:rsid w:val="00CC0784"/>
    <w:rsid w:val="00CC1065"/>
    <w:rsid w:val="00CC37DB"/>
    <w:rsid w:val="00CC44B0"/>
    <w:rsid w:val="00CC4F6B"/>
    <w:rsid w:val="00CC543C"/>
    <w:rsid w:val="00CC5ECF"/>
    <w:rsid w:val="00CC6DE1"/>
    <w:rsid w:val="00CD05F7"/>
    <w:rsid w:val="00CD3407"/>
    <w:rsid w:val="00CD3B6A"/>
    <w:rsid w:val="00CD5A74"/>
    <w:rsid w:val="00CD6456"/>
    <w:rsid w:val="00CD65C7"/>
    <w:rsid w:val="00CD6C00"/>
    <w:rsid w:val="00CE09CF"/>
    <w:rsid w:val="00CE173C"/>
    <w:rsid w:val="00CE3748"/>
    <w:rsid w:val="00CE3F58"/>
    <w:rsid w:val="00CE515F"/>
    <w:rsid w:val="00CE67B2"/>
    <w:rsid w:val="00CF0AB8"/>
    <w:rsid w:val="00CF0D36"/>
    <w:rsid w:val="00CF357D"/>
    <w:rsid w:val="00CF503A"/>
    <w:rsid w:val="00CF60EC"/>
    <w:rsid w:val="00CF6139"/>
    <w:rsid w:val="00CF6E74"/>
    <w:rsid w:val="00CF75AF"/>
    <w:rsid w:val="00CF7B8B"/>
    <w:rsid w:val="00CF7B92"/>
    <w:rsid w:val="00D0097C"/>
    <w:rsid w:val="00D00B09"/>
    <w:rsid w:val="00D023D1"/>
    <w:rsid w:val="00D034D5"/>
    <w:rsid w:val="00D04093"/>
    <w:rsid w:val="00D04444"/>
    <w:rsid w:val="00D04A6D"/>
    <w:rsid w:val="00D06028"/>
    <w:rsid w:val="00D0678B"/>
    <w:rsid w:val="00D06882"/>
    <w:rsid w:val="00D106D2"/>
    <w:rsid w:val="00D10733"/>
    <w:rsid w:val="00D11097"/>
    <w:rsid w:val="00D116B9"/>
    <w:rsid w:val="00D11810"/>
    <w:rsid w:val="00D11BEA"/>
    <w:rsid w:val="00D12300"/>
    <w:rsid w:val="00D126A7"/>
    <w:rsid w:val="00D12F36"/>
    <w:rsid w:val="00D13EC5"/>
    <w:rsid w:val="00D14AE4"/>
    <w:rsid w:val="00D15D4D"/>
    <w:rsid w:val="00D15F05"/>
    <w:rsid w:val="00D16E41"/>
    <w:rsid w:val="00D2073A"/>
    <w:rsid w:val="00D2077A"/>
    <w:rsid w:val="00D213EA"/>
    <w:rsid w:val="00D214BF"/>
    <w:rsid w:val="00D218D6"/>
    <w:rsid w:val="00D22E6B"/>
    <w:rsid w:val="00D262DF"/>
    <w:rsid w:val="00D278C1"/>
    <w:rsid w:val="00D30F12"/>
    <w:rsid w:val="00D3344D"/>
    <w:rsid w:val="00D33E1B"/>
    <w:rsid w:val="00D36A4B"/>
    <w:rsid w:val="00D37C97"/>
    <w:rsid w:val="00D37DBD"/>
    <w:rsid w:val="00D4123C"/>
    <w:rsid w:val="00D4150B"/>
    <w:rsid w:val="00D41B42"/>
    <w:rsid w:val="00D41C3D"/>
    <w:rsid w:val="00D41E1D"/>
    <w:rsid w:val="00D41F02"/>
    <w:rsid w:val="00D4211F"/>
    <w:rsid w:val="00D422BF"/>
    <w:rsid w:val="00D42A40"/>
    <w:rsid w:val="00D44A45"/>
    <w:rsid w:val="00D4617B"/>
    <w:rsid w:val="00D46E8A"/>
    <w:rsid w:val="00D4783C"/>
    <w:rsid w:val="00D4795E"/>
    <w:rsid w:val="00D47A06"/>
    <w:rsid w:val="00D5229A"/>
    <w:rsid w:val="00D523D9"/>
    <w:rsid w:val="00D533EF"/>
    <w:rsid w:val="00D537EF"/>
    <w:rsid w:val="00D54650"/>
    <w:rsid w:val="00D60C7B"/>
    <w:rsid w:val="00D614B3"/>
    <w:rsid w:val="00D619BA"/>
    <w:rsid w:val="00D62F7A"/>
    <w:rsid w:val="00D63032"/>
    <w:rsid w:val="00D651AE"/>
    <w:rsid w:val="00D6522E"/>
    <w:rsid w:val="00D677D3"/>
    <w:rsid w:val="00D67EFE"/>
    <w:rsid w:val="00D70C99"/>
    <w:rsid w:val="00D71B24"/>
    <w:rsid w:val="00D72991"/>
    <w:rsid w:val="00D73442"/>
    <w:rsid w:val="00D74EA2"/>
    <w:rsid w:val="00D75233"/>
    <w:rsid w:val="00D757F8"/>
    <w:rsid w:val="00D802BE"/>
    <w:rsid w:val="00D81979"/>
    <w:rsid w:val="00D81CE5"/>
    <w:rsid w:val="00D81DD7"/>
    <w:rsid w:val="00D838D3"/>
    <w:rsid w:val="00D846C0"/>
    <w:rsid w:val="00D85553"/>
    <w:rsid w:val="00D85697"/>
    <w:rsid w:val="00D8578C"/>
    <w:rsid w:val="00D86EF0"/>
    <w:rsid w:val="00D92744"/>
    <w:rsid w:val="00D93B0D"/>
    <w:rsid w:val="00D94D44"/>
    <w:rsid w:val="00D94FA6"/>
    <w:rsid w:val="00D95F18"/>
    <w:rsid w:val="00D961D6"/>
    <w:rsid w:val="00D965C2"/>
    <w:rsid w:val="00D977A0"/>
    <w:rsid w:val="00D97B2E"/>
    <w:rsid w:val="00DA0B5C"/>
    <w:rsid w:val="00DA24B4"/>
    <w:rsid w:val="00DA256E"/>
    <w:rsid w:val="00DA317D"/>
    <w:rsid w:val="00DA5A75"/>
    <w:rsid w:val="00DA6C8A"/>
    <w:rsid w:val="00DB014F"/>
    <w:rsid w:val="00DB1084"/>
    <w:rsid w:val="00DB147E"/>
    <w:rsid w:val="00DB2680"/>
    <w:rsid w:val="00DB2F50"/>
    <w:rsid w:val="00DB4447"/>
    <w:rsid w:val="00DB474C"/>
    <w:rsid w:val="00DB6154"/>
    <w:rsid w:val="00DB7BCC"/>
    <w:rsid w:val="00DC14A6"/>
    <w:rsid w:val="00DC1571"/>
    <w:rsid w:val="00DC1B63"/>
    <w:rsid w:val="00DC2011"/>
    <w:rsid w:val="00DC2651"/>
    <w:rsid w:val="00DC2BE8"/>
    <w:rsid w:val="00DC309E"/>
    <w:rsid w:val="00DC30BD"/>
    <w:rsid w:val="00DC3727"/>
    <w:rsid w:val="00DC3A9E"/>
    <w:rsid w:val="00DC4215"/>
    <w:rsid w:val="00DC4DD8"/>
    <w:rsid w:val="00DC67C3"/>
    <w:rsid w:val="00DC6A9D"/>
    <w:rsid w:val="00DC7FCC"/>
    <w:rsid w:val="00DD0007"/>
    <w:rsid w:val="00DD039D"/>
    <w:rsid w:val="00DD0C65"/>
    <w:rsid w:val="00DD15FF"/>
    <w:rsid w:val="00DD1661"/>
    <w:rsid w:val="00DD1D08"/>
    <w:rsid w:val="00DD2381"/>
    <w:rsid w:val="00DD2FBB"/>
    <w:rsid w:val="00DD3A53"/>
    <w:rsid w:val="00DD4570"/>
    <w:rsid w:val="00DD4738"/>
    <w:rsid w:val="00DD5BA1"/>
    <w:rsid w:val="00DD5F69"/>
    <w:rsid w:val="00DE0BAC"/>
    <w:rsid w:val="00DE14CC"/>
    <w:rsid w:val="00DE3350"/>
    <w:rsid w:val="00DE346F"/>
    <w:rsid w:val="00DE4A98"/>
    <w:rsid w:val="00DE59EA"/>
    <w:rsid w:val="00DE632C"/>
    <w:rsid w:val="00DF13FA"/>
    <w:rsid w:val="00DF1E87"/>
    <w:rsid w:val="00DF2706"/>
    <w:rsid w:val="00DF2CD8"/>
    <w:rsid w:val="00DF2CF9"/>
    <w:rsid w:val="00DF3537"/>
    <w:rsid w:val="00DF3CF2"/>
    <w:rsid w:val="00DF5C98"/>
    <w:rsid w:val="00DF6639"/>
    <w:rsid w:val="00DF69DF"/>
    <w:rsid w:val="00DF7903"/>
    <w:rsid w:val="00DF7E2A"/>
    <w:rsid w:val="00DF7E6B"/>
    <w:rsid w:val="00E005D7"/>
    <w:rsid w:val="00E00D19"/>
    <w:rsid w:val="00E010D5"/>
    <w:rsid w:val="00E011E3"/>
    <w:rsid w:val="00E01B8F"/>
    <w:rsid w:val="00E0281C"/>
    <w:rsid w:val="00E04965"/>
    <w:rsid w:val="00E04BB9"/>
    <w:rsid w:val="00E05745"/>
    <w:rsid w:val="00E05D97"/>
    <w:rsid w:val="00E061F7"/>
    <w:rsid w:val="00E12931"/>
    <w:rsid w:val="00E12E72"/>
    <w:rsid w:val="00E1415C"/>
    <w:rsid w:val="00E14FB0"/>
    <w:rsid w:val="00E15CD6"/>
    <w:rsid w:val="00E16B79"/>
    <w:rsid w:val="00E1760D"/>
    <w:rsid w:val="00E201EB"/>
    <w:rsid w:val="00E2121A"/>
    <w:rsid w:val="00E2164C"/>
    <w:rsid w:val="00E217E0"/>
    <w:rsid w:val="00E25123"/>
    <w:rsid w:val="00E26648"/>
    <w:rsid w:val="00E269D2"/>
    <w:rsid w:val="00E27E7B"/>
    <w:rsid w:val="00E30D13"/>
    <w:rsid w:val="00E3299C"/>
    <w:rsid w:val="00E32AF8"/>
    <w:rsid w:val="00E3415D"/>
    <w:rsid w:val="00E34636"/>
    <w:rsid w:val="00E347A9"/>
    <w:rsid w:val="00E35A80"/>
    <w:rsid w:val="00E36738"/>
    <w:rsid w:val="00E37385"/>
    <w:rsid w:val="00E40CEB"/>
    <w:rsid w:val="00E40EF3"/>
    <w:rsid w:val="00E41749"/>
    <w:rsid w:val="00E41E46"/>
    <w:rsid w:val="00E42A6D"/>
    <w:rsid w:val="00E42CCA"/>
    <w:rsid w:val="00E43C8D"/>
    <w:rsid w:val="00E4610D"/>
    <w:rsid w:val="00E46157"/>
    <w:rsid w:val="00E50805"/>
    <w:rsid w:val="00E50DC4"/>
    <w:rsid w:val="00E53C28"/>
    <w:rsid w:val="00E5542E"/>
    <w:rsid w:val="00E55969"/>
    <w:rsid w:val="00E55B26"/>
    <w:rsid w:val="00E55F59"/>
    <w:rsid w:val="00E563DE"/>
    <w:rsid w:val="00E5737A"/>
    <w:rsid w:val="00E60089"/>
    <w:rsid w:val="00E6078A"/>
    <w:rsid w:val="00E60C02"/>
    <w:rsid w:val="00E61DA6"/>
    <w:rsid w:val="00E62328"/>
    <w:rsid w:val="00E626B5"/>
    <w:rsid w:val="00E6289C"/>
    <w:rsid w:val="00E6385F"/>
    <w:rsid w:val="00E642A0"/>
    <w:rsid w:val="00E64952"/>
    <w:rsid w:val="00E64D37"/>
    <w:rsid w:val="00E66B57"/>
    <w:rsid w:val="00E70D3B"/>
    <w:rsid w:val="00E70DB5"/>
    <w:rsid w:val="00E713FD"/>
    <w:rsid w:val="00E724E8"/>
    <w:rsid w:val="00E73278"/>
    <w:rsid w:val="00E73EC2"/>
    <w:rsid w:val="00E766EF"/>
    <w:rsid w:val="00E772A0"/>
    <w:rsid w:val="00E81A62"/>
    <w:rsid w:val="00E82DEE"/>
    <w:rsid w:val="00E84293"/>
    <w:rsid w:val="00E84E71"/>
    <w:rsid w:val="00E85AF6"/>
    <w:rsid w:val="00E86EDB"/>
    <w:rsid w:val="00E90E5E"/>
    <w:rsid w:val="00E91C2A"/>
    <w:rsid w:val="00E920CD"/>
    <w:rsid w:val="00E9268F"/>
    <w:rsid w:val="00E92FA9"/>
    <w:rsid w:val="00E93C61"/>
    <w:rsid w:val="00E94A41"/>
    <w:rsid w:val="00E94D5B"/>
    <w:rsid w:val="00E94E79"/>
    <w:rsid w:val="00E94F04"/>
    <w:rsid w:val="00E96CDA"/>
    <w:rsid w:val="00E97A4C"/>
    <w:rsid w:val="00EA0A07"/>
    <w:rsid w:val="00EA1573"/>
    <w:rsid w:val="00EA1EC2"/>
    <w:rsid w:val="00EA2D2C"/>
    <w:rsid w:val="00EA3E1A"/>
    <w:rsid w:val="00EA4625"/>
    <w:rsid w:val="00EA4DDE"/>
    <w:rsid w:val="00EA55BA"/>
    <w:rsid w:val="00EA7C51"/>
    <w:rsid w:val="00EB1B53"/>
    <w:rsid w:val="00EB2F51"/>
    <w:rsid w:val="00EB4428"/>
    <w:rsid w:val="00EB47E8"/>
    <w:rsid w:val="00EB65ED"/>
    <w:rsid w:val="00EC05AA"/>
    <w:rsid w:val="00EC0A41"/>
    <w:rsid w:val="00EC270B"/>
    <w:rsid w:val="00EC2AD6"/>
    <w:rsid w:val="00EC3355"/>
    <w:rsid w:val="00EC34CE"/>
    <w:rsid w:val="00EC5AA1"/>
    <w:rsid w:val="00EC65A1"/>
    <w:rsid w:val="00EC68B0"/>
    <w:rsid w:val="00EC7C57"/>
    <w:rsid w:val="00ED0AD6"/>
    <w:rsid w:val="00ED0C47"/>
    <w:rsid w:val="00ED10B7"/>
    <w:rsid w:val="00ED3F40"/>
    <w:rsid w:val="00ED491F"/>
    <w:rsid w:val="00ED52B4"/>
    <w:rsid w:val="00ED6BE4"/>
    <w:rsid w:val="00ED741D"/>
    <w:rsid w:val="00ED7937"/>
    <w:rsid w:val="00EE0E5F"/>
    <w:rsid w:val="00EE1473"/>
    <w:rsid w:val="00EE29A0"/>
    <w:rsid w:val="00EE4BD2"/>
    <w:rsid w:val="00EE51CE"/>
    <w:rsid w:val="00EF0340"/>
    <w:rsid w:val="00EF0A1A"/>
    <w:rsid w:val="00EF1BC1"/>
    <w:rsid w:val="00EF3523"/>
    <w:rsid w:val="00EF373E"/>
    <w:rsid w:val="00EF3DCF"/>
    <w:rsid w:val="00EF4675"/>
    <w:rsid w:val="00EF4D5C"/>
    <w:rsid w:val="00EF6D04"/>
    <w:rsid w:val="00EF779C"/>
    <w:rsid w:val="00F01F4A"/>
    <w:rsid w:val="00F030F6"/>
    <w:rsid w:val="00F036EC"/>
    <w:rsid w:val="00F03B86"/>
    <w:rsid w:val="00F0400C"/>
    <w:rsid w:val="00F04737"/>
    <w:rsid w:val="00F07EF5"/>
    <w:rsid w:val="00F12BC9"/>
    <w:rsid w:val="00F13562"/>
    <w:rsid w:val="00F15025"/>
    <w:rsid w:val="00F153DD"/>
    <w:rsid w:val="00F154AB"/>
    <w:rsid w:val="00F15C5D"/>
    <w:rsid w:val="00F15E0B"/>
    <w:rsid w:val="00F171FE"/>
    <w:rsid w:val="00F1772B"/>
    <w:rsid w:val="00F2054B"/>
    <w:rsid w:val="00F20D8C"/>
    <w:rsid w:val="00F23449"/>
    <w:rsid w:val="00F238BC"/>
    <w:rsid w:val="00F23E3C"/>
    <w:rsid w:val="00F246C6"/>
    <w:rsid w:val="00F24DE2"/>
    <w:rsid w:val="00F252EE"/>
    <w:rsid w:val="00F25543"/>
    <w:rsid w:val="00F25CB5"/>
    <w:rsid w:val="00F2777B"/>
    <w:rsid w:val="00F30A22"/>
    <w:rsid w:val="00F31E36"/>
    <w:rsid w:val="00F3254D"/>
    <w:rsid w:val="00F339F0"/>
    <w:rsid w:val="00F35143"/>
    <w:rsid w:val="00F36797"/>
    <w:rsid w:val="00F40434"/>
    <w:rsid w:val="00F4066B"/>
    <w:rsid w:val="00F4247C"/>
    <w:rsid w:val="00F439DE"/>
    <w:rsid w:val="00F44828"/>
    <w:rsid w:val="00F4496C"/>
    <w:rsid w:val="00F44C55"/>
    <w:rsid w:val="00F45D29"/>
    <w:rsid w:val="00F4720C"/>
    <w:rsid w:val="00F47B53"/>
    <w:rsid w:val="00F505DD"/>
    <w:rsid w:val="00F50DD8"/>
    <w:rsid w:val="00F5121C"/>
    <w:rsid w:val="00F5125E"/>
    <w:rsid w:val="00F51748"/>
    <w:rsid w:val="00F517CC"/>
    <w:rsid w:val="00F52317"/>
    <w:rsid w:val="00F52876"/>
    <w:rsid w:val="00F5288D"/>
    <w:rsid w:val="00F52BF4"/>
    <w:rsid w:val="00F53AB7"/>
    <w:rsid w:val="00F54769"/>
    <w:rsid w:val="00F5498F"/>
    <w:rsid w:val="00F55735"/>
    <w:rsid w:val="00F55862"/>
    <w:rsid w:val="00F57035"/>
    <w:rsid w:val="00F57659"/>
    <w:rsid w:val="00F63170"/>
    <w:rsid w:val="00F633FB"/>
    <w:rsid w:val="00F634EA"/>
    <w:rsid w:val="00F63A39"/>
    <w:rsid w:val="00F63A86"/>
    <w:rsid w:val="00F6482F"/>
    <w:rsid w:val="00F677B4"/>
    <w:rsid w:val="00F75746"/>
    <w:rsid w:val="00F77566"/>
    <w:rsid w:val="00F779A7"/>
    <w:rsid w:val="00F77C7B"/>
    <w:rsid w:val="00F8021E"/>
    <w:rsid w:val="00F80523"/>
    <w:rsid w:val="00F81229"/>
    <w:rsid w:val="00F819EB"/>
    <w:rsid w:val="00F8209C"/>
    <w:rsid w:val="00F820B8"/>
    <w:rsid w:val="00F8247E"/>
    <w:rsid w:val="00F83436"/>
    <w:rsid w:val="00F83C6B"/>
    <w:rsid w:val="00F83F15"/>
    <w:rsid w:val="00F86853"/>
    <w:rsid w:val="00F86C64"/>
    <w:rsid w:val="00F902B3"/>
    <w:rsid w:val="00F91F76"/>
    <w:rsid w:val="00F92D68"/>
    <w:rsid w:val="00F96385"/>
    <w:rsid w:val="00F972E7"/>
    <w:rsid w:val="00FA03A8"/>
    <w:rsid w:val="00FA2E24"/>
    <w:rsid w:val="00FA327E"/>
    <w:rsid w:val="00FA3F6E"/>
    <w:rsid w:val="00FA5609"/>
    <w:rsid w:val="00FA5E8A"/>
    <w:rsid w:val="00FA6CBE"/>
    <w:rsid w:val="00FA7796"/>
    <w:rsid w:val="00FA7F1D"/>
    <w:rsid w:val="00FB0AD8"/>
    <w:rsid w:val="00FB203D"/>
    <w:rsid w:val="00FB266A"/>
    <w:rsid w:val="00FB2752"/>
    <w:rsid w:val="00FB491D"/>
    <w:rsid w:val="00FB5EB6"/>
    <w:rsid w:val="00FC036E"/>
    <w:rsid w:val="00FC25E0"/>
    <w:rsid w:val="00FC2B92"/>
    <w:rsid w:val="00FC55A0"/>
    <w:rsid w:val="00FC5A9D"/>
    <w:rsid w:val="00FD02BD"/>
    <w:rsid w:val="00FD21BA"/>
    <w:rsid w:val="00FD3503"/>
    <w:rsid w:val="00FD3B78"/>
    <w:rsid w:val="00FD473D"/>
    <w:rsid w:val="00FD58BF"/>
    <w:rsid w:val="00FD6210"/>
    <w:rsid w:val="00FD6837"/>
    <w:rsid w:val="00FE0812"/>
    <w:rsid w:val="00FE17AB"/>
    <w:rsid w:val="00FE1D78"/>
    <w:rsid w:val="00FE25AA"/>
    <w:rsid w:val="00FE3437"/>
    <w:rsid w:val="00FE4AFA"/>
    <w:rsid w:val="00FE59CB"/>
    <w:rsid w:val="00FE5B03"/>
    <w:rsid w:val="00FE7317"/>
    <w:rsid w:val="00FF0083"/>
    <w:rsid w:val="00FF12EC"/>
    <w:rsid w:val="00FF188A"/>
    <w:rsid w:val="00FF1A50"/>
    <w:rsid w:val="00FF25BA"/>
    <w:rsid w:val="00FF26D0"/>
    <w:rsid w:val="00FF285E"/>
    <w:rsid w:val="00FF3DCA"/>
    <w:rsid w:val="00FF4A32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C4C2D"/>
  <w15:docId w15:val="{5AFAA08F-A639-064D-A9F6-E1608084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B77"/>
    <w:pPr>
      <w:spacing w:line="360" w:lineRule="auto"/>
      <w:jc w:val="both"/>
    </w:pPr>
    <w:rPr>
      <w:rFonts w:ascii="Arial" w:hAnsi="Arial" w:cs="Arial"/>
      <w:sz w:val="24"/>
      <w:szCs w:val="24"/>
      <w:lang w:val="en-US"/>
    </w:rPr>
  </w:style>
  <w:style w:type="paragraph" w:styleId="Ttulo1">
    <w:name w:val="heading 1"/>
    <w:basedOn w:val="Ttulo"/>
    <w:next w:val="Normal"/>
    <w:qFormat/>
    <w:rsid w:val="0062369D"/>
    <w:pPr>
      <w:jc w:val="left"/>
      <w:outlineLvl w:val="0"/>
    </w:pPr>
    <w:rPr>
      <w:sz w:val="36"/>
      <w:u w:val="none"/>
    </w:rPr>
  </w:style>
  <w:style w:type="paragraph" w:styleId="Ttulo2">
    <w:name w:val="heading 2"/>
    <w:basedOn w:val="Normal"/>
    <w:next w:val="Normal"/>
    <w:link w:val="Ttulo2Char"/>
    <w:qFormat/>
    <w:rsid w:val="0062369D"/>
    <w:pPr>
      <w:keepNext/>
      <w:spacing w:before="240" w:after="60"/>
      <w:outlineLvl w:val="1"/>
    </w:pPr>
    <w:rPr>
      <w:rFonts w:cs="Times New Roman"/>
      <w:b/>
      <w:bCs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/>
      <w:bCs/>
      <w:szCs w:val="36"/>
      <w:lang w:val="pt-BR"/>
    </w:rPr>
  </w:style>
  <w:style w:type="paragraph" w:styleId="Ttulo4">
    <w:name w:val="heading 4"/>
    <w:basedOn w:val="Normal"/>
    <w:next w:val="Normal"/>
    <w:qFormat/>
    <w:pPr>
      <w:keepNext/>
      <w:framePr w:hSpace="141" w:wrap="around" w:vAnchor="text" w:hAnchor="margin" w:xAlign="center" w:y="164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cs="Times New Roman"/>
      <w:sz w:val="22"/>
      <w:lang w:val="pt-BR"/>
    </w:rPr>
  </w:style>
  <w:style w:type="paragraph" w:styleId="Sumrio1">
    <w:name w:val="toc 1"/>
    <w:basedOn w:val="Normal"/>
    <w:next w:val="Normal"/>
    <w:autoRedefine/>
    <w:uiPriority w:val="39"/>
    <w:rsid w:val="00283F7F"/>
    <w:pPr>
      <w:spacing w:before="360"/>
      <w:jc w:val="left"/>
    </w:pPr>
    <w:rPr>
      <w:rFonts w:ascii="Cambria" w:hAnsi="Cambria"/>
      <w:b/>
      <w:bCs/>
      <w:caps/>
    </w:rPr>
  </w:style>
  <w:style w:type="paragraph" w:styleId="Corpodetexto3">
    <w:name w:val="Body Text 3"/>
    <w:basedOn w:val="Normal"/>
    <w:rPr>
      <w:sz w:val="22"/>
    </w:rPr>
  </w:style>
  <w:style w:type="character" w:styleId="Refdenotaderodap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pPr>
      <w:jc w:val="center"/>
    </w:pPr>
    <w:rPr>
      <w:b/>
      <w:bCs/>
      <w:u w:val="single"/>
    </w:rPr>
  </w:style>
  <w:style w:type="paragraph" w:styleId="Subttulo">
    <w:name w:val="Subtitle"/>
    <w:basedOn w:val="Normal"/>
    <w:qFormat/>
    <w:rPr>
      <w:b/>
      <w:bCs/>
      <w:u w:val="single"/>
    </w:rPr>
  </w:style>
  <w:style w:type="paragraph" w:styleId="Corpodetexto2">
    <w:name w:val="Body Text 2"/>
    <w:basedOn w:val="Normal"/>
    <w:rPr>
      <w:rFonts w:ascii="Monotype Corsiva" w:hAnsi="Monotype Corsiva"/>
      <w:b/>
      <w:bCs/>
      <w:sz w:val="32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Times New Roman" w:hAnsi="Times New Roman" w:cs="Times New Roman"/>
      <w:lang w:val="pt-BR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ind w:firstLine="708"/>
    </w:pPr>
    <w:rPr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Sumrio2">
    <w:name w:val="toc 2"/>
    <w:basedOn w:val="Normal"/>
    <w:next w:val="Normal"/>
    <w:autoRedefine/>
    <w:uiPriority w:val="39"/>
    <w:rsid w:val="008C2B11"/>
    <w:pPr>
      <w:pBdr>
        <w:between w:val="single" w:sz="4" w:space="1" w:color="auto"/>
        <w:bar w:val="single" w:sz="4" w:color="auto"/>
      </w:pBdr>
      <w:tabs>
        <w:tab w:val="right" w:leader="dot" w:pos="10457"/>
      </w:tabs>
      <w:jc w:val="left"/>
    </w:pPr>
    <w:rPr>
      <w:rFonts w:ascii="Calibri" w:hAnsi="Calibri" w:cs="Calibri"/>
      <w:b/>
      <w:bCs/>
      <w:noProof/>
      <w:sz w:val="22"/>
      <w:szCs w:val="22"/>
      <w:lang w:val="pt-BR"/>
    </w:rPr>
  </w:style>
  <w:style w:type="paragraph" w:styleId="Sumrio3">
    <w:name w:val="toc 3"/>
    <w:basedOn w:val="Normal"/>
    <w:next w:val="Normal"/>
    <w:autoRedefine/>
    <w:uiPriority w:val="39"/>
    <w:pPr>
      <w:ind w:left="240"/>
      <w:jc w:val="left"/>
    </w:pPr>
    <w:rPr>
      <w:rFonts w:ascii="Calibri" w:hAnsi="Calibr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pPr>
      <w:ind w:left="480"/>
      <w:jc w:val="left"/>
    </w:pPr>
    <w:rPr>
      <w:rFonts w:ascii="Calibri" w:hAnsi="Calibr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pPr>
      <w:ind w:left="720"/>
      <w:jc w:val="left"/>
    </w:pPr>
    <w:rPr>
      <w:rFonts w:ascii="Calibri" w:hAnsi="Calibr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pPr>
      <w:ind w:left="960"/>
      <w:jc w:val="left"/>
    </w:pPr>
    <w:rPr>
      <w:rFonts w:ascii="Calibri" w:hAnsi="Calibr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pPr>
      <w:ind w:left="1200"/>
      <w:jc w:val="left"/>
    </w:pPr>
    <w:rPr>
      <w:rFonts w:ascii="Calibri" w:hAnsi="Calibr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pPr>
      <w:ind w:left="1440"/>
      <w:jc w:val="left"/>
    </w:pPr>
    <w:rPr>
      <w:rFonts w:ascii="Calibri" w:hAnsi="Calibr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pPr>
      <w:ind w:left="1680"/>
      <w:jc w:val="left"/>
    </w:pPr>
    <w:rPr>
      <w:rFonts w:ascii="Calibri" w:hAnsi="Calibri"/>
      <w:sz w:val="20"/>
      <w:szCs w:val="20"/>
    </w:rPr>
  </w:style>
  <w:style w:type="character" w:customStyle="1" w:styleId="texto1">
    <w:name w:val="texto1"/>
    <w:rsid w:val="00FD6837"/>
    <w:rPr>
      <w:color w:val="666666"/>
      <w:sz w:val="17"/>
      <w:szCs w:val="17"/>
    </w:rPr>
  </w:style>
  <w:style w:type="character" w:styleId="HiperlinkVisitado">
    <w:name w:val="FollowedHyperlink"/>
    <w:rsid w:val="00FD6837"/>
    <w:rPr>
      <w:color w:val="800080"/>
      <w:u w:val="single"/>
    </w:rPr>
  </w:style>
  <w:style w:type="table" w:styleId="Tabelacomgrade1">
    <w:name w:val="Table Grid 1"/>
    <w:basedOn w:val="Tabelanormal"/>
    <w:rsid w:val="005A1C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5A1CD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har">
    <w:name w:val="Título 2 Char"/>
    <w:link w:val="Ttulo2"/>
    <w:rsid w:val="0062369D"/>
    <w:rPr>
      <w:rFonts w:ascii="Arial" w:hAnsi="Arial" w:cs="Arial"/>
      <w:b/>
      <w:bCs/>
      <w:sz w:val="24"/>
      <w:szCs w:val="24"/>
    </w:rPr>
  </w:style>
  <w:style w:type="character" w:styleId="Refdecomentrio">
    <w:name w:val="annotation reference"/>
    <w:semiHidden/>
    <w:rsid w:val="00EA0A07"/>
    <w:rPr>
      <w:sz w:val="16"/>
      <w:szCs w:val="16"/>
    </w:rPr>
  </w:style>
  <w:style w:type="paragraph" w:styleId="Textodecomentrio">
    <w:name w:val="annotation text"/>
    <w:basedOn w:val="Normal"/>
    <w:semiHidden/>
    <w:rsid w:val="00EA0A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EA0A07"/>
    <w:rPr>
      <w:b/>
      <w:bCs/>
    </w:rPr>
  </w:style>
  <w:style w:type="paragraph" w:styleId="Textodebalo">
    <w:name w:val="Balloon Text"/>
    <w:basedOn w:val="Normal"/>
    <w:semiHidden/>
    <w:rsid w:val="00EA0A0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rsid w:val="005B7F48"/>
    <w:rPr>
      <w:rFonts w:ascii="Arial" w:hAnsi="Arial" w:cs="Arial"/>
      <w:b/>
      <w:bCs/>
      <w:sz w:val="24"/>
      <w:szCs w:val="36"/>
      <w:lang w:val="pt-BR" w:eastAsia="pt-BR"/>
    </w:rPr>
  </w:style>
  <w:style w:type="character" w:customStyle="1" w:styleId="CorpodetextoChar">
    <w:name w:val="Corpo de texto Char"/>
    <w:link w:val="Corpodetexto"/>
    <w:rsid w:val="005B7F48"/>
    <w:rPr>
      <w:rFonts w:ascii="Arial" w:hAnsi="Arial" w:cs="Arial"/>
      <w:sz w:val="22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A84AF4"/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C1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017F"/>
    <w:pPr>
      <w:ind w:left="720"/>
      <w:contextualSpacing/>
    </w:pPr>
  </w:style>
  <w:style w:type="character" w:customStyle="1" w:styleId="apple-converted-space">
    <w:name w:val="apple-converted-space"/>
    <w:rsid w:val="00A00C3F"/>
  </w:style>
  <w:style w:type="paragraph" w:styleId="CabealhodoSumrio">
    <w:name w:val="TOC Heading"/>
    <w:basedOn w:val="Ttulo1"/>
    <w:next w:val="Normal"/>
    <w:uiPriority w:val="39"/>
    <w:unhideWhenUsed/>
    <w:qFormat/>
    <w:rsid w:val="008520FD"/>
    <w:pPr>
      <w:keepNext/>
      <w:keepLines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val="pt-BR" w:eastAsia="en-US"/>
    </w:rPr>
  </w:style>
  <w:style w:type="paragraph" w:styleId="Remissivo1">
    <w:name w:val="index 1"/>
    <w:basedOn w:val="Normal"/>
    <w:next w:val="Normal"/>
    <w:autoRedefine/>
    <w:rsid w:val="00A21FD3"/>
    <w:pPr>
      <w:ind w:left="240" w:hanging="240"/>
    </w:pPr>
  </w:style>
  <w:style w:type="character" w:customStyle="1" w:styleId="CabealhoChar">
    <w:name w:val="Cabeçalho Char"/>
    <w:link w:val="Cabealho"/>
    <w:uiPriority w:val="99"/>
    <w:rsid w:val="009C5545"/>
    <w:rPr>
      <w:rFonts w:ascii="Arial" w:hAnsi="Arial" w:cs="Arial"/>
      <w:sz w:val="24"/>
      <w:szCs w:val="24"/>
      <w:lang w:val="en-US"/>
    </w:rPr>
  </w:style>
  <w:style w:type="paragraph" w:customStyle="1" w:styleId="fr">
    <w:name w:val="fr"/>
    <w:basedOn w:val="Normal"/>
    <w:rsid w:val="00ED3F4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lang w:val="pt-BR"/>
    </w:rPr>
  </w:style>
  <w:style w:type="table" w:customStyle="1" w:styleId="Tabelacomgrade10">
    <w:name w:val="Tabela com grade1"/>
    <w:basedOn w:val="Tabelanormal"/>
    <w:next w:val="Tabelacomgrade"/>
    <w:uiPriority w:val="59"/>
    <w:rsid w:val="00F805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9268F"/>
    <w:pPr>
      <w:jc w:val="center"/>
    </w:pPr>
    <w:rPr>
      <w:noProof/>
      <w:lang w:val="pt-BR"/>
    </w:rPr>
  </w:style>
  <w:style w:type="character" w:customStyle="1" w:styleId="EndNoteBibliographyTitleChar">
    <w:name w:val="EndNote Bibliography Title Char"/>
    <w:link w:val="EndNoteBibliographyTitle"/>
    <w:rsid w:val="00E9268F"/>
    <w:rPr>
      <w:rFonts w:ascii="Arial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9268F"/>
    <w:pPr>
      <w:spacing w:line="240" w:lineRule="auto"/>
    </w:pPr>
    <w:rPr>
      <w:noProof/>
      <w:lang w:val="pt-BR"/>
    </w:rPr>
  </w:style>
  <w:style w:type="character" w:customStyle="1" w:styleId="EndNoteBibliographyChar">
    <w:name w:val="EndNote Bibliography Char"/>
    <w:link w:val="EndNoteBibliography"/>
    <w:rsid w:val="00E9268F"/>
    <w:rPr>
      <w:rFonts w:ascii="Arial" w:hAnsi="Arial" w:cs="Arial"/>
      <w:noProof/>
      <w:sz w:val="24"/>
      <w:szCs w:val="24"/>
    </w:rPr>
  </w:style>
  <w:style w:type="paragraph" w:customStyle="1" w:styleId="EndNoteCategoryHeading">
    <w:name w:val="EndNote Category Heading"/>
    <w:basedOn w:val="Normal"/>
    <w:link w:val="EndNoteCategoryHeadingChar"/>
    <w:rsid w:val="00E25123"/>
    <w:pPr>
      <w:spacing w:before="120" w:after="120"/>
      <w:jc w:val="left"/>
    </w:pPr>
    <w:rPr>
      <w:b/>
      <w:noProof/>
      <w:lang w:val="pt-BR"/>
    </w:rPr>
  </w:style>
  <w:style w:type="character" w:customStyle="1" w:styleId="EndNoteCategoryHeadingChar">
    <w:name w:val="EndNote Category Heading Char"/>
    <w:link w:val="EndNoteCategoryHeading"/>
    <w:rsid w:val="00E25123"/>
    <w:rPr>
      <w:rFonts w:ascii="Arial" w:hAnsi="Arial" w:cs="Arial"/>
      <w:b/>
      <w:noProof/>
      <w:sz w:val="24"/>
      <w:szCs w:val="24"/>
    </w:rPr>
  </w:style>
  <w:style w:type="character" w:customStyle="1" w:styleId="red">
    <w:name w:val="red"/>
    <w:rsid w:val="005F1137"/>
  </w:style>
  <w:style w:type="paragraph" w:customStyle="1" w:styleId="Default">
    <w:name w:val="Default"/>
    <w:rsid w:val="00E82DEE"/>
    <w:pPr>
      <w:autoSpaceDE w:val="0"/>
      <w:autoSpaceDN w:val="0"/>
      <w:adjustRightInd w:val="0"/>
    </w:pPr>
    <w:rPr>
      <w:rFonts w:ascii="Kepler Std Scn" w:hAnsi="Kepler Std Scn" w:cs="Kepler Std Scn"/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F4247C"/>
    <w:rPr>
      <w:color w:val="605E5C"/>
      <w:shd w:val="clear" w:color="auto" w:fill="E1DFDD"/>
    </w:rPr>
  </w:style>
  <w:style w:type="character" w:customStyle="1" w:styleId="redtext">
    <w:name w:val="redtext"/>
    <w:rsid w:val="00867A75"/>
  </w:style>
  <w:style w:type="character" w:customStyle="1" w:styleId="MenoPendente2">
    <w:name w:val="Menção Pendente2"/>
    <w:uiPriority w:val="99"/>
    <w:semiHidden/>
    <w:unhideWhenUsed/>
    <w:rsid w:val="00573062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rsid w:val="00E94E7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94E79"/>
    <w:rPr>
      <w:rFonts w:ascii="Arial" w:hAnsi="Arial" w:cs="Arial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70071"/>
    <w:rPr>
      <w:rFonts w:ascii="Arial" w:hAnsi="Arial" w:cs="Arial"/>
      <w:sz w:val="24"/>
      <w:szCs w:val="24"/>
      <w:lang w:val="en-US"/>
    </w:rPr>
  </w:style>
  <w:style w:type="table" w:customStyle="1" w:styleId="TabeladeGrade6Colorida1">
    <w:name w:val="Tabela de Grade 6 Colorida1"/>
    <w:basedOn w:val="Tabelanormal"/>
    <w:uiPriority w:val="51"/>
    <w:rsid w:val="004F709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5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7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9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64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who.int/publications-detail-redirect/WHO-MHP-HPS-EML-2021.02" TargetMode="External"/><Relationship Id="rId39" Type="http://schemas.openxmlformats.org/officeDocument/2006/relationships/hyperlink" Target="https://www.annemergmed.com/action/showPdf?pii=S0196-0644%2817%2930657-1" TargetMode="Externa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42" Type="http://schemas.openxmlformats.org/officeDocument/2006/relationships/hyperlink" Target="http://conitec.gov.br/images/Consultas/Relatorios/2015/Relatorio_Hidroxocobalamina_CP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tox.org/" TargetMode="External"/><Relationship Id="rId24" Type="http://schemas.openxmlformats.org/officeDocument/2006/relationships/footer" Target="footer4.xml"/><Relationship Id="rId32" Type="http://schemas.openxmlformats.org/officeDocument/2006/relationships/hyperlink" Target="https://clincalc.com/Protamine/" TargetMode="External"/><Relationship Id="rId37" Type="http://schemas.openxmlformats.org/officeDocument/2006/relationships/hyperlink" Target="https://play.google.com/store/apps/details?id=org.acep.tsaa" TargetMode="External"/><Relationship Id="rId40" Type="http://schemas.openxmlformats.org/officeDocument/2006/relationships/hyperlink" Target="http://antigo.anvisa.gov.br/documents/10181/5548146/IN_01_2014_COMP.pdf/6458c7fc-a4b7-4b66-b8d3-7c73e99d925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28" Type="http://schemas.openxmlformats.org/officeDocument/2006/relationships/hyperlink" Target="https://abracit.org.br/centros/" TargetMode="External"/><Relationship Id="rId36" Type="http://schemas.openxmlformats.org/officeDocument/2006/relationships/hyperlink" Target="https://www.toxbase.org/" TargetMode="External"/><Relationship Id="rId10" Type="http://schemas.openxmlformats.org/officeDocument/2006/relationships/hyperlink" Target="https://www.bibliotecadigital.unicamp.br/bd/index.php/detalhes-material/?code=111700" TargetMode="External"/><Relationship Id="rId19" Type="http://schemas.openxmlformats.org/officeDocument/2006/relationships/header" Target="header4.xml"/><Relationship Id="rId31" Type="http://schemas.openxmlformats.org/officeDocument/2006/relationships/header" Target="header12.xml"/><Relationship Id="rId44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hyperlink" Target="https://abracit.org.br/centros/" TargetMode="External"/><Relationship Id="rId30" Type="http://schemas.openxmlformats.org/officeDocument/2006/relationships/header" Target="header11.xml"/><Relationship Id="rId35" Type="http://schemas.openxmlformats.org/officeDocument/2006/relationships/header" Target="header15.xml"/><Relationship Id="rId43" Type="http://schemas.openxmlformats.org/officeDocument/2006/relationships/image" Target="media/image3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diretoria@sbtox.org" TargetMode="External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yperlink" Target="https://rcem.ac.uk/wp-content/uploads/2021/12/RCEM_NPIS_Antidote_Guideline_2021_Appx_1_FINAL_V2.pdf" TargetMode="External"/><Relationship Id="rId46" Type="http://schemas.openxmlformats.org/officeDocument/2006/relationships/theme" Target="theme/theme1.xml"/><Relationship Id="rId20" Type="http://schemas.openxmlformats.org/officeDocument/2006/relationships/header" Target="header5.xml"/><Relationship Id="rId41" Type="http://schemas.openxmlformats.org/officeDocument/2006/relationships/hyperlink" Target="https://consultas.anvisa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D8D9A2F0-BF67-4B7C-9176-1934395A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12230</Words>
  <Characters>66043</Characters>
  <Application>Microsoft Office Word</Application>
  <DocSecurity>0</DocSecurity>
  <Lines>550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de Campinas</vt:lpstr>
      <vt:lpstr>Universidade Estadual de Campinas</vt:lpstr>
    </vt:vector>
  </TitlesOfParts>
  <Company>Particular</Company>
  <LinksUpToDate>false</LinksUpToDate>
  <CharactersWithSpaces>78117</CharactersWithSpaces>
  <SharedDoc>false</SharedDoc>
  <HLinks>
    <vt:vector size="318" baseType="variant">
      <vt:variant>
        <vt:i4>196697</vt:i4>
      </vt:variant>
      <vt:variant>
        <vt:i4>285</vt:i4>
      </vt:variant>
      <vt:variant>
        <vt:i4>0</vt:i4>
      </vt:variant>
      <vt:variant>
        <vt:i4>5</vt:i4>
      </vt:variant>
      <vt:variant>
        <vt:lpwstr>http://conitec.gov.br/images/Consultas/Relatorios/2015/Relatorio_Hidroxocobalamina_CP.pdf</vt:lpwstr>
      </vt:variant>
      <vt:variant>
        <vt:lpwstr/>
      </vt:variant>
      <vt:variant>
        <vt:i4>6815862</vt:i4>
      </vt:variant>
      <vt:variant>
        <vt:i4>282</vt:i4>
      </vt:variant>
      <vt:variant>
        <vt:i4>0</vt:i4>
      </vt:variant>
      <vt:variant>
        <vt:i4>5</vt:i4>
      </vt:variant>
      <vt:variant>
        <vt:lpwstr>https://consultas.anvisa.gov.br/</vt:lpwstr>
      </vt:variant>
      <vt:variant>
        <vt:lpwstr>/pareceres/q/?nomeProduto=PRAXBIND</vt:lpwstr>
      </vt:variant>
      <vt:variant>
        <vt:i4>3276886</vt:i4>
      </vt:variant>
      <vt:variant>
        <vt:i4>279</vt:i4>
      </vt:variant>
      <vt:variant>
        <vt:i4>0</vt:i4>
      </vt:variant>
      <vt:variant>
        <vt:i4>5</vt:i4>
      </vt:variant>
      <vt:variant>
        <vt:lpwstr>http://antigo.anvisa.gov.br/documents/10181/5548146/IN_01_2014_COMP.pdf/6458c7fc-a4b7-4b66-b8d3-7c73e99d9252</vt:lpwstr>
      </vt:variant>
      <vt:variant>
        <vt:lpwstr/>
      </vt:variant>
      <vt:variant>
        <vt:i4>5636099</vt:i4>
      </vt:variant>
      <vt:variant>
        <vt:i4>276</vt:i4>
      </vt:variant>
      <vt:variant>
        <vt:i4>0</vt:i4>
      </vt:variant>
      <vt:variant>
        <vt:i4>5</vt:i4>
      </vt:variant>
      <vt:variant>
        <vt:lpwstr>https://www.annemergmed.com/action/showPdf?pii=S0196-0644%2817%2930657-1</vt:lpwstr>
      </vt:variant>
      <vt:variant>
        <vt:lpwstr/>
      </vt:variant>
      <vt:variant>
        <vt:i4>7471202</vt:i4>
      </vt:variant>
      <vt:variant>
        <vt:i4>273</vt:i4>
      </vt:variant>
      <vt:variant>
        <vt:i4>0</vt:i4>
      </vt:variant>
      <vt:variant>
        <vt:i4>5</vt:i4>
      </vt:variant>
      <vt:variant>
        <vt:lpwstr>https://rcem.ac.uk/wp-content/uploads/2021/12/RCEM_NPIS_Antidote_Guideline_2021_Appx_1_FINAL_V2.pdf</vt:lpwstr>
      </vt:variant>
      <vt:variant>
        <vt:lpwstr/>
      </vt:variant>
      <vt:variant>
        <vt:i4>2097209</vt:i4>
      </vt:variant>
      <vt:variant>
        <vt:i4>270</vt:i4>
      </vt:variant>
      <vt:variant>
        <vt:i4>0</vt:i4>
      </vt:variant>
      <vt:variant>
        <vt:i4>5</vt:i4>
      </vt:variant>
      <vt:variant>
        <vt:lpwstr>https://play.google.com/store/apps/details?id=org.acep.tsaa</vt:lpwstr>
      </vt:variant>
      <vt:variant>
        <vt:lpwstr/>
      </vt:variant>
      <vt:variant>
        <vt:i4>4522048</vt:i4>
      </vt:variant>
      <vt:variant>
        <vt:i4>267</vt:i4>
      </vt:variant>
      <vt:variant>
        <vt:i4>0</vt:i4>
      </vt:variant>
      <vt:variant>
        <vt:i4>5</vt:i4>
      </vt:variant>
      <vt:variant>
        <vt:lpwstr>https://www.toxbase.org/</vt:lpwstr>
      </vt:variant>
      <vt:variant>
        <vt:lpwstr/>
      </vt:variant>
      <vt:variant>
        <vt:i4>7143470</vt:i4>
      </vt:variant>
      <vt:variant>
        <vt:i4>264</vt:i4>
      </vt:variant>
      <vt:variant>
        <vt:i4>0</vt:i4>
      </vt:variant>
      <vt:variant>
        <vt:i4>5</vt:i4>
      </vt:variant>
      <vt:variant>
        <vt:lpwstr>https://clincalc.com/Protamine/</vt:lpwstr>
      </vt:variant>
      <vt:variant>
        <vt:lpwstr/>
      </vt:variant>
      <vt:variant>
        <vt:i4>2883650</vt:i4>
      </vt:variant>
      <vt:variant>
        <vt:i4>261</vt:i4>
      </vt:variant>
      <vt:variant>
        <vt:i4>0</vt:i4>
      </vt:variant>
      <vt:variant>
        <vt:i4>5</vt:i4>
      </vt:variant>
      <vt:variant>
        <vt:lpwstr>http://conitec.gov.br/images/Relatorios/Portaria/2015/Portaria_SAS_1115_2015.pdf</vt:lpwstr>
      </vt:variant>
      <vt:variant>
        <vt:lpwstr/>
      </vt:variant>
      <vt:variant>
        <vt:i4>2031664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_Toc126068125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_Toc126068124</vt:lpwstr>
      </vt:variant>
      <vt:variant>
        <vt:i4>2031664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_Toc126068123</vt:lpwstr>
      </vt:variant>
      <vt:variant>
        <vt:i4>2031664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_Toc126068122</vt:lpwstr>
      </vt:variant>
      <vt:variant>
        <vt:i4>2031664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_Toc126068121</vt:lpwstr>
      </vt:variant>
      <vt:variant>
        <vt:i4>2031664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_Toc126068120</vt:lpwstr>
      </vt:variant>
      <vt:variant>
        <vt:i4>1835056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_Toc126068119</vt:lpwstr>
      </vt:variant>
      <vt:variant>
        <vt:i4>1835056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_Toc126068118</vt:lpwstr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_Toc126068117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_Toc126068116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_Toc126068115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_Toc126068114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_Toc126068113</vt:lpwstr>
      </vt:variant>
      <vt:variant>
        <vt:i4>1835056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_Toc126068112</vt:lpwstr>
      </vt:variant>
      <vt:variant>
        <vt:i4>1835056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_Toc126068111</vt:lpwstr>
      </vt:variant>
      <vt:variant>
        <vt:i4>1835056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_Toc126068110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_Toc126068109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_Toc126068108</vt:lpwstr>
      </vt:variant>
      <vt:variant>
        <vt:i4>1900592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_Toc126068107</vt:lpwstr>
      </vt:variant>
      <vt:variant>
        <vt:i4>1900592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_Toc126068106</vt:lpwstr>
      </vt:variant>
      <vt:variant>
        <vt:i4>1900592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_Toc126068105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_Toc126068104</vt:lpwstr>
      </vt:variant>
      <vt:variant>
        <vt:i4>1900592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_Toc126068103</vt:lpwstr>
      </vt:variant>
      <vt:variant>
        <vt:i4>1900592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_Toc126068102</vt:lpwstr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_Toc126068101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_Toc126068100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_Toc126068099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_Toc126068098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_Toc126068097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_Toc126068096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_Toc126068095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_Toc126068094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_Toc126068093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_Toc126068092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_Toc126068091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_Toc126068090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_Toc126068089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_Toc126068088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_Toc126068087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_Toc126068086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_Toc126068085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_Toc126068084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_Toc126068083</vt:lpwstr>
      </vt:variant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https://abracit.org.br/centros/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</dc:title>
  <dc:creator>Usuario</dc:creator>
  <cp:lastModifiedBy>Jose Roberto Santin</cp:lastModifiedBy>
  <cp:revision>2</cp:revision>
  <cp:lastPrinted>2024-08-08T17:40:00Z</cp:lastPrinted>
  <dcterms:created xsi:type="dcterms:W3CDTF">2024-08-27T17:56:00Z</dcterms:created>
  <dcterms:modified xsi:type="dcterms:W3CDTF">2024-08-27T17:56:00Z</dcterms:modified>
</cp:coreProperties>
</file>